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2A0FCE" w:rsidRPr="002A0FCE" w:rsidTr="002A0FCE">
        <w:tc>
          <w:tcPr>
            <w:tcW w:w="3348" w:type="dxa"/>
            <w:shd w:val="clear" w:color="auto" w:fill="FFFFFF"/>
            <w:tcMar>
              <w:top w:w="0" w:type="dxa"/>
              <w:left w:w="108" w:type="dxa"/>
              <w:bottom w:w="0" w:type="dxa"/>
              <w:right w:w="108" w:type="dxa"/>
            </w:tcMar>
            <w:hideMark/>
          </w:tcPr>
          <w:p w:rsidR="002A0FCE" w:rsidRPr="002A0FCE" w:rsidRDefault="002A0FCE" w:rsidP="002A0FCE">
            <w:pPr>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b/>
                <w:bCs/>
                <w:color w:val="646464"/>
                <w:sz w:val="17"/>
                <w:szCs w:val="17"/>
              </w:rPr>
              <w:t>BỘ Y TẾ</w:t>
            </w:r>
            <w:r w:rsidRPr="002A0FCE">
              <w:rPr>
                <w:rFonts w:ascii="Helvetica" w:eastAsia="Times New Roman" w:hAnsi="Helvetica" w:cs="Helvetica"/>
                <w:b/>
                <w:bCs/>
                <w:color w:val="646464"/>
                <w:sz w:val="17"/>
                <w:szCs w:val="17"/>
              </w:rPr>
              <w:br/>
              <w:t>-------</w:t>
            </w:r>
          </w:p>
        </w:tc>
        <w:tc>
          <w:tcPr>
            <w:tcW w:w="5508" w:type="dxa"/>
            <w:shd w:val="clear" w:color="auto" w:fill="FFFFFF"/>
            <w:tcMar>
              <w:top w:w="0" w:type="dxa"/>
              <w:left w:w="108" w:type="dxa"/>
              <w:bottom w:w="0" w:type="dxa"/>
              <w:right w:w="108" w:type="dxa"/>
            </w:tcMar>
            <w:hideMark/>
          </w:tcPr>
          <w:p w:rsidR="002A0FCE" w:rsidRPr="002A0FCE" w:rsidRDefault="002A0FCE" w:rsidP="002A0FCE">
            <w:pPr>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b/>
                <w:bCs/>
                <w:color w:val="646464"/>
                <w:sz w:val="17"/>
                <w:szCs w:val="17"/>
              </w:rPr>
              <w:t>CỘNG HÒA XÃ HỘI CHỦ NGHĨA VIỆT NAM</w:t>
            </w:r>
            <w:r w:rsidRPr="002A0FCE">
              <w:rPr>
                <w:rFonts w:ascii="Helvetica" w:eastAsia="Times New Roman" w:hAnsi="Helvetica" w:cs="Helvetica"/>
                <w:b/>
                <w:bCs/>
                <w:color w:val="646464"/>
                <w:sz w:val="17"/>
                <w:szCs w:val="17"/>
              </w:rPr>
              <w:br/>
              <w:t>Độc lập - Tự do - Hạnh phúc</w:t>
            </w:r>
            <w:r w:rsidRPr="002A0FCE">
              <w:rPr>
                <w:rFonts w:ascii="Helvetica" w:eastAsia="Times New Roman" w:hAnsi="Helvetica" w:cs="Helvetica"/>
                <w:b/>
                <w:bCs/>
                <w:color w:val="646464"/>
                <w:sz w:val="17"/>
                <w:szCs w:val="17"/>
              </w:rPr>
              <w:br/>
              <w:t>---------------</w:t>
            </w:r>
          </w:p>
        </w:tc>
      </w:tr>
      <w:tr w:rsidR="002A0FCE" w:rsidRPr="002A0FCE" w:rsidTr="002A0FCE">
        <w:tc>
          <w:tcPr>
            <w:tcW w:w="3348" w:type="dxa"/>
            <w:shd w:val="clear" w:color="auto" w:fill="FFFFFF"/>
            <w:tcMar>
              <w:top w:w="0" w:type="dxa"/>
              <w:left w:w="108" w:type="dxa"/>
              <w:bottom w:w="0" w:type="dxa"/>
              <w:right w:w="108" w:type="dxa"/>
            </w:tcMar>
            <w:hideMark/>
          </w:tcPr>
          <w:p w:rsidR="002A0FCE" w:rsidRPr="002A0FCE" w:rsidRDefault="002A0FCE" w:rsidP="002A0FCE">
            <w:pPr>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color w:val="646464"/>
                <w:sz w:val="17"/>
                <w:szCs w:val="17"/>
              </w:rPr>
              <w:t>Số: 2151/QĐ-BYT</w:t>
            </w:r>
          </w:p>
        </w:tc>
        <w:tc>
          <w:tcPr>
            <w:tcW w:w="5508" w:type="dxa"/>
            <w:shd w:val="clear" w:color="auto" w:fill="FFFFFF"/>
            <w:tcMar>
              <w:top w:w="0" w:type="dxa"/>
              <w:left w:w="108" w:type="dxa"/>
              <w:bottom w:w="0" w:type="dxa"/>
              <w:right w:w="108" w:type="dxa"/>
            </w:tcMar>
            <w:hideMark/>
          </w:tcPr>
          <w:p w:rsidR="002A0FCE" w:rsidRPr="002A0FCE" w:rsidRDefault="002A0FCE" w:rsidP="002A0FCE">
            <w:pPr>
              <w:spacing w:before="120" w:after="240"/>
              <w:jc w:val="right"/>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Hà Nội, ngày 04 tháng 06 năm 2015</w:t>
            </w:r>
          </w:p>
        </w:tc>
      </w:tr>
    </w:tbl>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color w:val="646464"/>
          <w:sz w:val="17"/>
          <w:szCs w:val="17"/>
        </w:rPr>
        <w:t> </w:t>
      </w:r>
    </w:p>
    <w:p w:rsidR="002A0FCE" w:rsidRPr="002A0FCE" w:rsidRDefault="002A0FCE" w:rsidP="002A0FCE">
      <w:pPr>
        <w:shd w:val="clear" w:color="auto" w:fill="FFFFFF"/>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b/>
          <w:bCs/>
          <w:color w:val="646464"/>
          <w:sz w:val="24"/>
          <w:szCs w:val="24"/>
        </w:rPr>
        <w:t>QUYẾT ĐỊNH</w:t>
      </w:r>
    </w:p>
    <w:p w:rsidR="002A0FCE" w:rsidRPr="002A0FCE" w:rsidRDefault="002A0FCE" w:rsidP="002A0FCE">
      <w:pPr>
        <w:shd w:val="clear" w:color="auto" w:fill="FFFFFF"/>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color w:val="646464"/>
          <w:sz w:val="17"/>
          <w:szCs w:val="17"/>
        </w:rPr>
        <w:t>VỀ VIỆC PHÊ DUYỆT KẾ HOẠCH TRIỂN KHAI THỰC HIỆN “ĐỔI MỚI PHONG CÁCH, THÁI ĐỘ PHỤC VỤ CỦA CÁN BỘ Y TẾ HƯỚNG TỚI SỰ HÀI LÒNG CỦA NGƯỜI BỆNH”</w:t>
      </w:r>
    </w:p>
    <w:p w:rsidR="002A0FCE" w:rsidRPr="002A0FCE" w:rsidRDefault="002A0FCE" w:rsidP="002A0FCE">
      <w:pPr>
        <w:shd w:val="clear" w:color="auto" w:fill="FFFFFF"/>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b/>
          <w:bCs/>
          <w:color w:val="646464"/>
          <w:sz w:val="24"/>
          <w:szCs w:val="24"/>
        </w:rPr>
        <w:t>BỘ TRƯỞNG BỘ Y TẾ</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Căn cứ Luật phòng, chống tham nhũng số </w:t>
      </w:r>
      <w:hyperlink r:id="rId4" w:tooltip="Luật phòng, chống tham nhũng 2005 55/2005/QH11" w:history="1">
        <w:r w:rsidRPr="002A0FCE">
          <w:rPr>
            <w:rFonts w:ascii="Helvetica" w:eastAsia="Times New Roman" w:hAnsi="Helvetica" w:cs="Helvetica"/>
            <w:i/>
            <w:iCs/>
            <w:color w:val="5C90D2"/>
            <w:sz w:val="17"/>
          </w:rPr>
          <w:t>55/2005/QH11</w:t>
        </w:r>
      </w:hyperlink>
      <w:r w:rsidRPr="002A0FCE">
        <w:rPr>
          <w:rFonts w:ascii="Helvetica" w:eastAsia="Times New Roman" w:hAnsi="Helvetica" w:cs="Helvetica"/>
          <w:i/>
          <w:iCs/>
          <w:color w:val="646464"/>
          <w:sz w:val="17"/>
          <w:szCs w:val="17"/>
        </w:rPr>
        <w:t> ngày 09 tháng 12 năm 2005;</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Căn cứ Luật cán bộ, công chức số </w:t>
      </w:r>
      <w:hyperlink r:id="rId5" w:tooltip="Nghị quyết 22/2008/QH12 phân bổ ngân sách Trung ương năm 2009" w:history="1">
        <w:r w:rsidRPr="002A0FCE">
          <w:rPr>
            <w:rFonts w:ascii="Helvetica" w:eastAsia="Times New Roman" w:hAnsi="Helvetica" w:cs="Helvetica"/>
            <w:i/>
            <w:iCs/>
            <w:color w:val="5C90D2"/>
            <w:sz w:val="17"/>
          </w:rPr>
          <w:t>22/2008/QH12</w:t>
        </w:r>
      </w:hyperlink>
      <w:r w:rsidRPr="002A0FCE">
        <w:rPr>
          <w:rFonts w:ascii="Helvetica" w:eastAsia="Times New Roman" w:hAnsi="Helvetica" w:cs="Helvetica"/>
          <w:i/>
          <w:iCs/>
          <w:color w:val="646464"/>
          <w:sz w:val="17"/>
          <w:szCs w:val="17"/>
        </w:rPr>
        <w:t> ngày 13 tháng 11 năm 2008;</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Căn cứ Luật viên chức số </w:t>
      </w:r>
      <w:hyperlink r:id="rId6" w:tooltip="Luật viên chức 2010" w:history="1">
        <w:r w:rsidRPr="002A0FCE">
          <w:rPr>
            <w:rFonts w:ascii="Helvetica" w:eastAsia="Times New Roman" w:hAnsi="Helvetica" w:cs="Helvetica"/>
            <w:i/>
            <w:iCs/>
            <w:color w:val="5C90D2"/>
            <w:sz w:val="17"/>
          </w:rPr>
          <w:t>58/2010/QH12</w:t>
        </w:r>
      </w:hyperlink>
      <w:r w:rsidRPr="002A0FCE">
        <w:rPr>
          <w:rFonts w:ascii="Helvetica" w:eastAsia="Times New Roman" w:hAnsi="Helvetica" w:cs="Helvetica"/>
          <w:i/>
          <w:iCs/>
          <w:color w:val="646464"/>
          <w:sz w:val="17"/>
          <w:szCs w:val="17"/>
        </w:rPr>
        <w:t> ngày 15 tháng 11 năm 2010;</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Căn cứ Luật khám bệnh, chữa bệnh số </w:t>
      </w:r>
      <w:hyperlink r:id="rId7" w:tooltip="Luật khám bệnh, chữa bệnh năm 2009" w:history="1">
        <w:r w:rsidRPr="002A0FCE">
          <w:rPr>
            <w:rFonts w:ascii="Helvetica" w:eastAsia="Times New Roman" w:hAnsi="Helvetica" w:cs="Helvetica"/>
            <w:i/>
            <w:iCs/>
            <w:color w:val="5C90D2"/>
            <w:sz w:val="17"/>
          </w:rPr>
          <w:t>40/2009/QH12</w:t>
        </w:r>
      </w:hyperlink>
      <w:r w:rsidRPr="002A0FCE">
        <w:rPr>
          <w:rFonts w:ascii="Helvetica" w:eastAsia="Times New Roman" w:hAnsi="Helvetica" w:cs="Helvetica"/>
          <w:i/>
          <w:iCs/>
          <w:color w:val="646464"/>
          <w:sz w:val="17"/>
          <w:szCs w:val="17"/>
        </w:rPr>
        <w:t> ngày 23 tháng 11 năm 2009;</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Căn cứ Nghị định số </w:t>
      </w:r>
      <w:hyperlink r:id="rId8" w:tooltip="Nghị định 04/2015/NĐ-CP thực hiện dân chủ trong hoạt động cơ quan hành chính nhà nước" w:history="1">
        <w:r w:rsidRPr="002A0FCE">
          <w:rPr>
            <w:rFonts w:ascii="Helvetica" w:eastAsia="Times New Roman" w:hAnsi="Helvetica" w:cs="Helvetica"/>
            <w:i/>
            <w:iCs/>
            <w:color w:val="5C90D2"/>
            <w:sz w:val="17"/>
          </w:rPr>
          <w:t>04/2015/NĐ-CP</w:t>
        </w:r>
      </w:hyperlink>
      <w:r w:rsidRPr="002A0FCE">
        <w:rPr>
          <w:rFonts w:ascii="Helvetica" w:eastAsia="Times New Roman" w:hAnsi="Helvetica" w:cs="Helvetica"/>
          <w:i/>
          <w:iCs/>
          <w:color w:val="646464"/>
          <w:sz w:val="17"/>
          <w:szCs w:val="17"/>
        </w:rPr>
        <w:t> ngày 09 tháng 01 năm 2015 của Chính phủ về thực hiện dân chủ trong hoạt động của cơ quan hành chính nhà nước và đơn vị sự nghiệp công lập;</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Căn cứ Nghị định số </w:t>
      </w:r>
      <w:hyperlink r:id="rId9" w:tooltip="Nghị định 63/2012/NĐ-CP quy định chức năng nhiệm vụ quyền hạn và cơ cấu tổ chức" w:history="1">
        <w:r w:rsidRPr="002A0FCE">
          <w:rPr>
            <w:rFonts w:ascii="Helvetica" w:eastAsia="Times New Roman" w:hAnsi="Helvetica" w:cs="Helvetica"/>
            <w:i/>
            <w:iCs/>
            <w:color w:val="5C90D2"/>
            <w:sz w:val="17"/>
          </w:rPr>
          <w:t>63/2012/NĐ-CP</w:t>
        </w:r>
      </w:hyperlink>
      <w:r w:rsidRPr="002A0FCE">
        <w:rPr>
          <w:rFonts w:ascii="Helvetica" w:eastAsia="Times New Roman" w:hAnsi="Helvetica" w:cs="Helvetica"/>
          <w:i/>
          <w:iCs/>
          <w:color w:val="646464"/>
          <w:sz w:val="17"/>
          <w:szCs w:val="17"/>
        </w:rPr>
        <w:t> ngày 31 tháng 8 năm 2012 của Chính phủ quy định chức năng nhiệm vụ, quyền hạn và cơ cấu tổ chức của Bộ Y tế;</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i/>
          <w:iCs/>
          <w:color w:val="646464"/>
          <w:sz w:val="17"/>
          <w:szCs w:val="17"/>
        </w:rPr>
        <w:t>Xét đề nghị của Vụ trưởng Vụ Tổ chức cán bộ, Cục trưởng Cục Quản lý khám, chữa bệnh - Bộ Y tế,</w:t>
      </w:r>
    </w:p>
    <w:p w:rsidR="002A0FCE" w:rsidRPr="002A0FCE" w:rsidRDefault="002A0FCE" w:rsidP="002A0FCE">
      <w:pPr>
        <w:shd w:val="clear" w:color="auto" w:fill="FFFFFF"/>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b/>
          <w:bCs/>
          <w:color w:val="646464"/>
          <w:sz w:val="24"/>
          <w:szCs w:val="24"/>
        </w:rPr>
        <w:t>QUYẾT ĐỊNH:</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b/>
          <w:bCs/>
          <w:color w:val="646464"/>
          <w:sz w:val="17"/>
          <w:szCs w:val="17"/>
        </w:rPr>
        <w:t>Điều 1.</w:t>
      </w:r>
      <w:r w:rsidRPr="002A0FCE">
        <w:rPr>
          <w:rFonts w:ascii="Helvetica" w:eastAsia="Times New Roman" w:hAnsi="Helvetica" w:cs="Helvetica"/>
          <w:color w:val="646464"/>
          <w:sz w:val="17"/>
          <w:szCs w:val="17"/>
        </w:rPr>
        <w:t> Phê duyệt kèm theo Quyết định này </w:t>
      </w:r>
      <w:r w:rsidRPr="002A0FCE">
        <w:rPr>
          <w:rFonts w:ascii="Helvetica" w:eastAsia="Times New Roman" w:hAnsi="Helvetica" w:cs="Helvetica"/>
          <w:color w:val="646464"/>
          <w:sz w:val="17"/>
          <w:szCs w:val="17"/>
          <w:shd w:val="clear" w:color="auto" w:fill="FFFFFF"/>
        </w:rPr>
        <w:t>Kế hoạch</w:t>
      </w:r>
      <w:r w:rsidRPr="002A0FCE">
        <w:rPr>
          <w:rFonts w:ascii="Helvetica" w:eastAsia="Times New Roman" w:hAnsi="Helvetica" w:cs="Helvetica"/>
          <w:color w:val="646464"/>
          <w:sz w:val="17"/>
          <w:szCs w:val="17"/>
        </w:rPr>
        <w:t> triển khai thực hiện “Đổi mới phong cách, thái độ phục vụ của cán bộ y tế hướng tới sự hài lòng của người bệnh” (bao gồm công chức, viên chức, người lao động tại các cơ sở khám bệnh, chữa bệnh trong toàn quốc).</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b/>
          <w:bCs/>
          <w:color w:val="646464"/>
          <w:sz w:val="17"/>
          <w:szCs w:val="17"/>
        </w:rPr>
        <w:t>Điều 2.</w:t>
      </w:r>
      <w:r w:rsidRPr="002A0FCE">
        <w:rPr>
          <w:rFonts w:ascii="Helvetica" w:eastAsia="Times New Roman" w:hAnsi="Helvetica" w:cs="Helvetica"/>
          <w:color w:val="646464"/>
          <w:sz w:val="17"/>
          <w:szCs w:val="17"/>
        </w:rPr>
        <w:t> Quyết định này có hiệu lực kể từ ngày ký, ban hành.</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b/>
          <w:bCs/>
          <w:color w:val="646464"/>
          <w:sz w:val="17"/>
          <w:szCs w:val="17"/>
        </w:rPr>
        <w:t>Điều 3.</w:t>
      </w:r>
      <w:r w:rsidRPr="002A0FCE">
        <w:rPr>
          <w:rFonts w:ascii="Helvetica" w:eastAsia="Times New Roman" w:hAnsi="Helvetica" w:cs="Helvetica"/>
          <w:color w:val="646464"/>
          <w:sz w:val="17"/>
          <w:szCs w:val="17"/>
        </w:rPr>
        <w:t> Các ông, bà: Chánh Văn phòng Bộ, Vụ trưởng Vụ Tổ chức cán bộ, Cục trưởng Cục Quản lý khám, chữa bệnh, Vụ trưởng các Vụ, Cục trưởng các Cục thuộc Bộ Y tế, Giám đốc Sở Y tế các tỉnh, thành phố trực thuộc Trung ương, Thủ trưởng các đơn vị liên quan chịu trách nhiệm thi hành Quyết định này./.</w:t>
      </w:r>
    </w:p>
    <w:p w:rsidR="002A0FCE" w:rsidRPr="002A0FCE" w:rsidRDefault="002A0FCE" w:rsidP="002A0FCE">
      <w:pPr>
        <w:shd w:val="clear" w:color="auto" w:fill="FFFFFF"/>
        <w:spacing w:before="120" w:after="240"/>
        <w:jc w:val="both"/>
        <w:rPr>
          <w:rFonts w:ascii="Helvetica" w:eastAsia="Times New Roman" w:hAnsi="Helvetica" w:cs="Helvetica"/>
          <w:color w:val="646464"/>
          <w:sz w:val="17"/>
          <w:szCs w:val="17"/>
        </w:rPr>
      </w:pPr>
      <w:r w:rsidRPr="002A0FCE">
        <w:rPr>
          <w:rFonts w:ascii="Helvetica" w:eastAsia="Times New Roman" w:hAnsi="Helvetica" w:cs="Helvetica"/>
          <w:color w:val="646464"/>
          <w:sz w:val="17"/>
          <w:szCs w:val="17"/>
        </w:rPr>
        <w:t> </w:t>
      </w:r>
    </w:p>
    <w:tbl>
      <w:tblPr>
        <w:tblW w:w="0" w:type="auto"/>
        <w:shd w:val="clear" w:color="auto" w:fill="FFFFFF"/>
        <w:tblCellMar>
          <w:left w:w="0" w:type="dxa"/>
          <w:right w:w="0" w:type="dxa"/>
        </w:tblCellMar>
        <w:tblLook w:val="04A0"/>
      </w:tblPr>
      <w:tblGrid>
        <w:gridCol w:w="4428"/>
        <w:gridCol w:w="4097"/>
      </w:tblGrid>
      <w:tr w:rsidR="002A0FCE" w:rsidRPr="002A0FCE" w:rsidTr="002A0FCE">
        <w:tc>
          <w:tcPr>
            <w:tcW w:w="4428" w:type="dxa"/>
            <w:shd w:val="clear" w:color="auto" w:fill="FFFFFF"/>
            <w:tcMar>
              <w:top w:w="0" w:type="dxa"/>
              <w:left w:w="108" w:type="dxa"/>
              <w:bottom w:w="0" w:type="dxa"/>
              <w:right w:w="108" w:type="dxa"/>
            </w:tcMar>
            <w:hideMark/>
          </w:tcPr>
          <w:p w:rsidR="002A0FCE" w:rsidRPr="002A0FCE" w:rsidRDefault="002A0FCE" w:rsidP="002A0FCE">
            <w:pPr>
              <w:spacing w:before="120" w:after="240"/>
              <w:jc w:val="both"/>
              <w:rPr>
                <w:rFonts w:ascii="Helvetica" w:eastAsia="Times New Roman" w:hAnsi="Helvetica" w:cs="Helvetica"/>
                <w:color w:val="646464"/>
                <w:sz w:val="17"/>
                <w:szCs w:val="17"/>
              </w:rPr>
            </w:pPr>
          </w:p>
        </w:tc>
        <w:tc>
          <w:tcPr>
            <w:tcW w:w="4097" w:type="dxa"/>
            <w:shd w:val="clear" w:color="auto" w:fill="FFFFFF"/>
            <w:tcMar>
              <w:top w:w="0" w:type="dxa"/>
              <w:left w:w="108" w:type="dxa"/>
              <w:bottom w:w="0" w:type="dxa"/>
              <w:right w:w="108" w:type="dxa"/>
            </w:tcMar>
            <w:hideMark/>
          </w:tcPr>
          <w:p w:rsidR="002A0FCE" w:rsidRPr="002A0FCE" w:rsidRDefault="002A0FCE" w:rsidP="002A0FCE">
            <w:pPr>
              <w:spacing w:before="120" w:after="240"/>
              <w:jc w:val="center"/>
              <w:rPr>
                <w:rFonts w:ascii="Helvetica" w:eastAsia="Times New Roman" w:hAnsi="Helvetica" w:cs="Helvetica"/>
                <w:color w:val="646464"/>
                <w:sz w:val="17"/>
                <w:szCs w:val="17"/>
              </w:rPr>
            </w:pPr>
            <w:r w:rsidRPr="002A0FCE">
              <w:rPr>
                <w:rFonts w:ascii="Helvetica" w:eastAsia="Times New Roman" w:hAnsi="Helvetica" w:cs="Helvetica"/>
                <w:b/>
                <w:bCs/>
                <w:color w:val="646464"/>
                <w:sz w:val="17"/>
                <w:szCs w:val="17"/>
              </w:rPr>
              <w:t>BỘ TRƯỞNG</w:t>
            </w:r>
            <w:r w:rsidRPr="002A0FCE">
              <w:rPr>
                <w:rFonts w:ascii="Helvetica" w:eastAsia="Times New Roman" w:hAnsi="Helvetica" w:cs="Helvetica"/>
                <w:b/>
                <w:bCs/>
                <w:color w:val="646464"/>
                <w:sz w:val="17"/>
                <w:szCs w:val="17"/>
              </w:rPr>
              <w:br/>
            </w:r>
            <w:r w:rsidRPr="002A0FCE">
              <w:rPr>
                <w:rFonts w:ascii="Helvetica" w:eastAsia="Times New Roman" w:hAnsi="Helvetica" w:cs="Helvetica"/>
                <w:b/>
                <w:bCs/>
                <w:color w:val="646464"/>
                <w:sz w:val="17"/>
                <w:szCs w:val="17"/>
              </w:rPr>
              <w:br/>
            </w:r>
            <w:r w:rsidRPr="002A0FCE">
              <w:rPr>
                <w:rFonts w:ascii="Helvetica" w:eastAsia="Times New Roman" w:hAnsi="Helvetica" w:cs="Helvetica"/>
                <w:b/>
                <w:bCs/>
                <w:color w:val="646464"/>
                <w:sz w:val="17"/>
                <w:szCs w:val="17"/>
              </w:rPr>
              <w:br/>
            </w:r>
            <w:r w:rsidRPr="002A0FCE">
              <w:rPr>
                <w:rFonts w:ascii="Helvetica" w:eastAsia="Times New Roman" w:hAnsi="Helvetica" w:cs="Helvetica"/>
                <w:b/>
                <w:bCs/>
                <w:color w:val="646464"/>
                <w:sz w:val="17"/>
                <w:szCs w:val="17"/>
              </w:rPr>
              <w:br/>
            </w:r>
            <w:r w:rsidRPr="002A0FCE">
              <w:rPr>
                <w:rFonts w:ascii="Helvetica" w:eastAsia="Times New Roman" w:hAnsi="Helvetica" w:cs="Helvetica"/>
                <w:b/>
                <w:bCs/>
                <w:color w:val="646464"/>
                <w:sz w:val="17"/>
                <w:szCs w:val="17"/>
              </w:rPr>
              <w:br/>
              <w:t>Nguyễn Thị Kim Tiến</w:t>
            </w:r>
          </w:p>
        </w:tc>
      </w:tr>
    </w:tbl>
    <w:p w:rsidR="00D345AE" w:rsidRDefault="00D345AE"/>
    <w:sectPr w:rsidR="00D345AE" w:rsidSect="00D563C0">
      <w:pgSz w:w="12242" w:h="15842" w:code="1"/>
      <w:pgMar w:top="1134" w:right="1134" w:bottom="1134" w:left="1985" w:header="73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0"/>
  <w:characterSpacingControl w:val="doNotCompress"/>
  <w:compat/>
  <w:rsids>
    <w:rsidRoot w:val="002A0FCE"/>
    <w:rsid w:val="001A1D36"/>
    <w:rsid w:val="001B227C"/>
    <w:rsid w:val="002A0FCE"/>
    <w:rsid w:val="002A76D2"/>
    <w:rsid w:val="00304008"/>
    <w:rsid w:val="004770BF"/>
    <w:rsid w:val="005234D8"/>
    <w:rsid w:val="00597DA7"/>
    <w:rsid w:val="005F0304"/>
    <w:rsid w:val="00607DFE"/>
    <w:rsid w:val="0065282F"/>
    <w:rsid w:val="006901F0"/>
    <w:rsid w:val="008F4306"/>
    <w:rsid w:val="00937C48"/>
    <w:rsid w:val="00940301"/>
    <w:rsid w:val="00B338A8"/>
    <w:rsid w:val="00B822CA"/>
    <w:rsid w:val="00D345AE"/>
    <w:rsid w:val="00D563C0"/>
    <w:rsid w:val="00D72546"/>
    <w:rsid w:val="00EB4900"/>
    <w:rsid w:val="00FA3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FCE"/>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A0FCE"/>
    <w:rPr>
      <w:color w:val="0000FF"/>
      <w:u w:val="single"/>
    </w:rPr>
  </w:style>
</w:styles>
</file>

<file path=word/webSettings.xml><?xml version="1.0" encoding="utf-8"?>
<w:webSettings xmlns:r="http://schemas.openxmlformats.org/officeDocument/2006/relationships" xmlns:w="http://schemas.openxmlformats.org/wordprocessingml/2006/main">
  <w:divs>
    <w:div w:id="12647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04-2015-nd-cp-thuc-hien-dan-chu-trong-hoat-dong-co-quan-hanh-chinh-nha-nuoc" TargetMode="External"/><Relationship Id="rId3" Type="http://schemas.openxmlformats.org/officeDocument/2006/relationships/webSettings" Target="webSettings.xml"/><Relationship Id="rId7" Type="http://schemas.openxmlformats.org/officeDocument/2006/relationships/hyperlink" Target="https://vanbanphapluat.co/luat-kham-benh-chua-benh-nam-2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phapluat.co/luat-vien-chuc-2010" TargetMode="External"/><Relationship Id="rId11" Type="http://schemas.openxmlformats.org/officeDocument/2006/relationships/theme" Target="theme/theme1.xml"/><Relationship Id="rId5" Type="http://schemas.openxmlformats.org/officeDocument/2006/relationships/hyperlink" Target="https://vanbanphapluat.co/nghi-quyet-22-2008-qh12-phan-bo-ngan-sach-trung-uong-nam-2009" TargetMode="External"/><Relationship Id="rId10" Type="http://schemas.openxmlformats.org/officeDocument/2006/relationships/fontTable" Target="fontTable.xml"/><Relationship Id="rId4" Type="http://schemas.openxmlformats.org/officeDocument/2006/relationships/hyperlink" Target="https://vanbanphapluat.co/luat-phong-chong-tham-nhung-2005-55-2005-qh11" TargetMode="External"/><Relationship Id="rId9" Type="http://schemas.openxmlformats.org/officeDocument/2006/relationships/hyperlink" Target="https://vanbanphapluat.co/nghi-dinh-63-2012-nd-cp-quy-dinh-chuc-nang-nhiem-vu-quyen-han-va-co-cau-to-c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2020-12-29T09:14:00Z</dcterms:created>
  <dcterms:modified xsi:type="dcterms:W3CDTF">2020-12-29T09:14:00Z</dcterms:modified>
</cp:coreProperties>
</file>