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3F94" w14:textId="77777777" w:rsidR="008C2F2A" w:rsidRDefault="008C2F2A">
      <w:pPr>
        <w:rPr>
          <w:rFonts w:ascii="Times New Roman" w:hAnsi="Times New Roman" w:cs="Times New Roman"/>
          <w:b/>
          <w:u w:val="single"/>
        </w:rPr>
      </w:pPr>
    </w:p>
    <w:p w14:paraId="0AB5A2EF" w14:textId="656B6E1B" w:rsidR="005269A7" w:rsidRDefault="00C16D2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ĐƠN VỊ THÔNG TIN THUỐC </w:t>
      </w:r>
      <w:r w:rsidR="004050F3" w:rsidRPr="004050F3">
        <w:rPr>
          <w:rFonts w:ascii="Times New Roman" w:hAnsi="Times New Roman" w:cs="Times New Roman"/>
          <w:b/>
          <w:u w:val="single"/>
        </w:rPr>
        <w:t>- BV PHCN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3F1330">
        <w:rPr>
          <w:rFonts w:ascii="Times New Roman" w:hAnsi="Times New Roman" w:cs="Times New Roman"/>
          <w:b/>
          <w:u w:val="single"/>
        </w:rPr>
        <w:t>–</w:t>
      </w:r>
      <w:r>
        <w:rPr>
          <w:rFonts w:ascii="Times New Roman" w:hAnsi="Times New Roman" w:cs="Times New Roman"/>
          <w:b/>
          <w:u w:val="single"/>
        </w:rPr>
        <w:t>THÁNG</w:t>
      </w:r>
      <w:r w:rsidR="00EB20D6">
        <w:rPr>
          <w:rFonts w:ascii="Times New Roman" w:hAnsi="Times New Roman" w:cs="Times New Roman"/>
          <w:b/>
          <w:u w:val="single"/>
        </w:rPr>
        <w:t xml:space="preserve"> 0</w:t>
      </w:r>
      <w:r w:rsidR="00A85C5B">
        <w:rPr>
          <w:rFonts w:ascii="Times New Roman" w:hAnsi="Times New Roman" w:cs="Times New Roman"/>
          <w:b/>
          <w:u w:val="single"/>
        </w:rPr>
        <w:t>8/2022</w:t>
      </w:r>
    </w:p>
    <w:p w14:paraId="753862A5" w14:textId="7A2A30D4" w:rsidR="004050F3" w:rsidRDefault="00EB20D6" w:rsidP="004050F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50E4F">
        <w:rPr>
          <w:rFonts w:ascii="Times New Roman" w:hAnsi="Times New Roman" w:cs="Times New Roman"/>
          <w:b/>
          <w:sz w:val="48"/>
          <w:szCs w:val="48"/>
        </w:rPr>
        <w:t>Asi</w:t>
      </w:r>
      <w:r w:rsidR="00F50E4F" w:rsidRPr="00F50E4F">
        <w:rPr>
          <w:rFonts w:ascii="Times New Roman" w:hAnsi="Times New Roman" w:cs="Times New Roman"/>
          <w:b/>
          <w:sz w:val="48"/>
          <w:szCs w:val="48"/>
        </w:rPr>
        <w:t>gastrogit</w:t>
      </w:r>
    </w:p>
    <w:p w14:paraId="0F2D3A26" w14:textId="65E66BE9" w:rsidR="003B0B88" w:rsidRDefault="00F50E4F" w:rsidP="00D25D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3C6C0C8" wp14:editId="35CA4F35">
            <wp:extent cx="1834515" cy="1361867"/>
            <wp:effectExtent l="0" t="0" r="0" b="0"/>
            <wp:docPr id="2" name="Picture 2" descr="Asigastrogit - Thuốc biệt dược, công dụng , cách dùng - V335-H12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igastrogit - Thuốc biệt dược, công dụng , cách dùng - V335-H12-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924" cy="140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C6DFD" w14:textId="77777777" w:rsidR="00C14563" w:rsidRDefault="00C14563" w:rsidP="00C1456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</w:p>
    <w:p w14:paraId="29DB11F7" w14:textId="6B93B286" w:rsidR="00BB54BD" w:rsidRPr="00D25D38" w:rsidRDefault="004050F3" w:rsidP="0026518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167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Thành phần</w:t>
      </w:r>
      <w:r w:rsidR="0026518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="00D25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D25D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 1 gói x 3,2 gam</w:t>
      </w:r>
    </w:p>
    <w:p w14:paraId="5BAE3167" w14:textId="4B271E46" w:rsidR="00022879" w:rsidRPr="008E3FBE" w:rsidRDefault="00000000" w:rsidP="008E3FB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7" w:tgtFrame="_blank" w:tooltip="Thuốc Attapulgite là gì" w:history="1">
        <w:r w:rsidR="00135F04" w:rsidRPr="008E3FB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Attapulgite</w:t>
        </w:r>
      </w:hyperlink>
      <w:r w:rsidR="00022879" w:rsidRPr="008E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hoạt hoá ………………………………………………………2.5 gam</w:t>
      </w:r>
    </w:p>
    <w:p w14:paraId="4D0209B1" w14:textId="36E8E5E3" w:rsidR="00022879" w:rsidRPr="008E3FBE" w:rsidRDefault="00B67670" w:rsidP="008E3FB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E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</w:t>
      </w:r>
      <w:r w:rsidR="00135F04" w:rsidRPr="008E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hôm hydroxide khô</w:t>
      </w:r>
      <w:r w:rsidR="00022879" w:rsidRPr="008E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………………………………………………………250 mg</w:t>
      </w:r>
    </w:p>
    <w:p w14:paraId="2D0B3406" w14:textId="5A1C8834" w:rsidR="0026518E" w:rsidRPr="008E3FBE" w:rsidRDefault="00135F04" w:rsidP="008E3FB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8" w:tgtFrame="_blank" w:tooltip="Thuốc magnesi carbonat là gì" w:history="1">
        <w:r w:rsidR="00B67670" w:rsidRPr="008E3FB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M</w:t>
        </w:r>
        <w:r w:rsidRPr="008E3FB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agnesi carbonat</w:t>
        </w:r>
      </w:hyperlink>
      <w:r w:rsidR="00B67670" w:rsidRPr="008E3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………………………………………………………250 mg</w:t>
      </w:r>
    </w:p>
    <w:p w14:paraId="0E61EB4C" w14:textId="185A887E" w:rsidR="00B67670" w:rsidRPr="008E3FBE" w:rsidRDefault="00B67670" w:rsidP="008E3FB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Tá dược vừa đủ……………………………………………………………….1 gói </w:t>
      </w:r>
    </w:p>
    <w:p w14:paraId="544CF6DD" w14:textId="77777777" w:rsidR="00C14563" w:rsidRPr="00135F04" w:rsidRDefault="00C14563" w:rsidP="00C1456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27A756BA" w14:textId="3890E816" w:rsidR="00B7745E" w:rsidRPr="00B167D1" w:rsidRDefault="00B7745E" w:rsidP="00C145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7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Dạng bào chế:</w:t>
      </w:r>
      <w:r w:rsidRPr="00B167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0A64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Thuốc bột pha hỗn dịch uống </w:t>
      </w:r>
    </w:p>
    <w:p w14:paraId="59B6DA43" w14:textId="65F93C90" w:rsidR="00C14563" w:rsidRPr="00B167D1" w:rsidRDefault="00793D0E" w:rsidP="00C1456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167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Quy cách đóng gói: </w:t>
      </w:r>
      <w:r w:rsidR="000A64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Hộp 30 gói x 3,2 gam</w:t>
      </w:r>
    </w:p>
    <w:p w14:paraId="56E01B20" w14:textId="3BA40DB9" w:rsidR="004050F3" w:rsidRDefault="004050F3" w:rsidP="00C1456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167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Chỉ định:</w:t>
      </w:r>
    </w:p>
    <w:p w14:paraId="1FAF5185" w14:textId="37679CFE" w:rsidR="000A6496" w:rsidRPr="00486CC2" w:rsidRDefault="00A91167" w:rsidP="00A91167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Điều trị triệu chứng các bệnh đại tràng không đặc hiệu cấp và m</w:t>
      </w:r>
      <w:r w:rsidR="00056E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ạn tính có ỉa chảy , đặc biệt ỉa chảy kèm </w:t>
      </w:r>
      <w:r w:rsidR="00486C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</w:t>
      </w:r>
      <w:r w:rsidR="00056E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ướng bụng</w:t>
      </w:r>
      <w:r w:rsidR="00486C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CFE9AE9" w14:textId="5B9C1370" w:rsidR="00486CC2" w:rsidRPr="00486CC2" w:rsidRDefault="00486CC2" w:rsidP="00A91167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Hội chứng kích ứng ruột .</w:t>
      </w:r>
    </w:p>
    <w:p w14:paraId="0DA28C3A" w14:textId="52A59980" w:rsidR="00486CC2" w:rsidRPr="00A91167" w:rsidRDefault="00486CC2" w:rsidP="00A91167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Điều trị hỗ trợ chứng loét dạ dày- tá tràng </w:t>
      </w:r>
      <w:r w:rsidR="00A72E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viêm dạ dày, hồi  lưu dạ dày thực quản ,biến chứng sau cắt dạ dày </w:t>
      </w:r>
      <w:r w:rsidR="00C642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đau thượng vị , cảm giác nóng ở thực quản hay dạ dày .</w:t>
      </w:r>
    </w:p>
    <w:p w14:paraId="11DDD5BE" w14:textId="7BDEF223" w:rsidR="00F40A72" w:rsidRDefault="004050F3" w:rsidP="00C1456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167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Cách dùng và </w:t>
      </w:r>
      <w:r w:rsidR="00C14563" w:rsidRPr="00B167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l</w:t>
      </w:r>
      <w:r w:rsidRPr="00B167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iều dùng:</w:t>
      </w:r>
    </w:p>
    <w:p w14:paraId="7CD2C5E4" w14:textId="77777777" w:rsidR="009370EB" w:rsidRPr="003978EA" w:rsidRDefault="00E02468" w:rsidP="00C1456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3978EA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Cách dùng :</w:t>
      </w:r>
    </w:p>
    <w:p w14:paraId="32FC14C3" w14:textId="10BE0DC4" w:rsidR="00E02468" w:rsidRPr="003579D7" w:rsidRDefault="00E02468" w:rsidP="003579D7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Hoà tan thuốc với 15ml nước đun sôi để nguội .</w:t>
      </w:r>
      <w:r w:rsidR="009370EB"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khuấy kỹ và dùng ngay .</w:t>
      </w:r>
    </w:p>
    <w:p w14:paraId="11E54313" w14:textId="7A0D63CB" w:rsidR="009370EB" w:rsidRPr="003579D7" w:rsidRDefault="009370EB" w:rsidP="003579D7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Dùng thuốc vào trước bữa ăn 30 phút hoặc khi có cơn đau</w:t>
      </w:r>
      <w:r w:rsidR="00B76CE8"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EBA57EE" w14:textId="14F307E8" w:rsidR="00B76CE8" w:rsidRPr="003978EA" w:rsidRDefault="00B76CE8" w:rsidP="00C1456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3978EA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Liều dùng:</w:t>
      </w:r>
    </w:p>
    <w:p w14:paraId="4A83035B" w14:textId="536385DF" w:rsidR="00B76CE8" w:rsidRPr="003579D7" w:rsidRDefault="00B76CE8" w:rsidP="003579D7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Người lớn và trẻ em trên 6 tuổi :Uống 1 </w:t>
      </w:r>
      <w:r w:rsidR="00E468F7"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gói </w:t>
      </w:r>
      <w:r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 lần x 3 lân / ngày </w:t>
      </w:r>
      <w:r w:rsidR="00E468F7"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C13A450" w14:textId="035C6729" w:rsidR="00E468F7" w:rsidRPr="003579D7" w:rsidRDefault="00E468F7" w:rsidP="003579D7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Trẻ em từ 2- 6 tuổi: Uống 1 gói/ lần x 2 lần/ ngày.</w:t>
      </w:r>
    </w:p>
    <w:p w14:paraId="79BC3FF8" w14:textId="22B812DA" w:rsidR="009370EB" w:rsidRPr="00B01FBF" w:rsidRDefault="00E468F7" w:rsidP="00D14E5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01F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Trẻ em </w:t>
      </w:r>
      <w:r w:rsidR="003978EA" w:rsidRPr="00B01F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dưới 2 tuổi: ½ gói x 2 lần / ngày.</w:t>
      </w:r>
    </w:p>
    <w:p w14:paraId="65279567" w14:textId="50F8DE76" w:rsidR="0035795C" w:rsidRDefault="003B0B88" w:rsidP="00C1456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67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Chống chỉ định</w:t>
      </w:r>
      <w:r w:rsidRPr="00B167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767B4389" w14:textId="073F7B16" w:rsidR="0035795C" w:rsidRPr="005B3E4A" w:rsidRDefault="001F467C" w:rsidP="001F467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Quá mẫn với attapulgit</w:t>
      </w:r>
      <w:r w:rsidR="005B3E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961C0C1" w14:textId="1ACE20B5" w:rsidR="005B3E4A" w:rsidRPr="008B7BE0" w:rsidRDefault="005B3E4A" w:rsidP="001F467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Mẫn cảm với nhôm hydr</w:t>
      </w:r>
      <w:r w:rsidR="00DF4C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oxyd và các antacid chứa magnesi</w:t>
      </w:r>
      <w:r w:rsidR="008B7B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0C98F53" w14:textId="6FE281ED" w:rsidR="008B7BE0" w:rsidRPr="008B7BE0" w:rsidRDefault="008B7BE0" w:rsidP="001F467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Giảm phosphat máu.</w:t>
      </w:r>
    </w:p>
    <w:p w14:paraId="5F9F6558" w14:textId="5ECBA244" w:rsidR="008B7BE0" w:rsidRPr="0003359B" w:rsidRDefault="008B7BE0" w:rsidP="001F467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Trẻ nhỏ tuổi vì nguy cơ nhiễm độc nhôm </w:t>
      </w:r>
      <w:r w:rsidR="000335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nguy cơ tăng magnesi huyết đặc biệt </w:t>
      </w:r>
      <w:r w:rsid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ở </w:t>
      </w:r>
      <w:r w:rsidR="000335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trẻ mất nước hoặc bị suy thận .</w:t>
      </w:r>
    </w:p>
    <w:p w14:paraId="7CD9F780" w14:textId="1B0CCBE2" w:rsidR="0035795C" w:rsidRPr="00B01FBF" w:rsidRDefault="00B97C32" w:rsidP="00E83E1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F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Suy chức năng thận nặng ( nguy cơ tăng magnesi máu)</w:t>
      </w:r>
    </w:p>
    <w:p w14:paraId="64DEF0EA" w14:textId="189979E3" w:rsidR="00C854C7" w:rsidRDefault="003C541E" w:rsidP="00C1456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67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Cảnh báo và t</w:t>
      </w:r>
      <w:r w:rsidR="00C854C7" w:rsidRPr="00B167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hận trọng khi dùng</w:t>
      </w:r>
      <w:r w:rsidRPr="00B167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thuốc</w:t>
      </w:r>
      <w:r w:rsidR="00C854C7" w:rsidRPr="00B167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52E5B542" w14:textId="3756CA21" w:rsidR="00360074" w:rsidRPr="003579D7" w:rsidRDefault="00360074" w:rsidP="003579D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Tính chất hập thụ của </w:t>
      </w:r>
      <w:r w:rsidR="00E965AB"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attapulgit làm ảnh hưởng đến sự hấp thu của một số thuốc ở đường ruột như ( </w:t>
      </w:r>
      <w:r w:rsidR="001E609C"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r w:rsidR="00E965AB"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etracy</w:t>
      </w:r>
      <w:r w:rsidR="001E609C"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lin)</w:t>
      </w:r>
    </w:p>
    <w:p w14:paraId="1FE4D11F" w14:textId="0D01F212" w:rsidR="00B97C32" w:rsidRPr="003579D7" w:rsidRDefault="00506EC7" w:rsidP="003579D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Không dùng thuốc quá 2 ngày ,hoặc khi ỉa chảy có kèm sốt , ỉa chảy phân có kèm máu </w:t>
      </w:r>
      <w:r w:rsidR="001D4C9C"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và chất nhầy , sốt cao </w:t>
      </w:r>
    </w:p>
    <w:p w14:paraId="1EB04C7F" w14:textId="49C3D30E" w:rsidR="001D4C9C" w:rsidRPr="003579D7" w:rsidRDefault="001D4C9C" w:rsidP="003579D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Không dùng cho trẻ dưới 6 tuổi </w:t>
      </w:r>
      <w:r w:rsidR="00D54AF2"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trừ trường hợp có sự theo dõi của bác sĩ , vì nguy cơ mất nước do ỉa chảy .</w:t>
      </w:r>
    </w:p>
    <w:p w14:paraId="7884A40A" w14:textId="4AA371AC" w:rsidR="00D54AF2" w:rsidRPr="003579D7" w:rsidRDefault="00D54AF2" w:rsidP="003579D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Dùng thận trọng ở người to đại tràng </w:t>
      </w:r>
      <w:r w:rsidR="00B26E8F"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do suy giảm trương lực.</w:t>
      </w:r>
    </w:p>
    <w:p w14:paraId="7B4CB09E" w14:textId="6A734B48" w:rsidR="00B26E8F" w:rsidRPr="003579D7" w:rsidRDefault="00B26E8F" w:rsidP="003579D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Dùng thận trong với  bệnh nhân suy tim sung huyết , suy thận, phù , sơ gan và chế độ ăn ít natri </w:t>
      </w:r>
      <w:r w:rsidR="009A4C3A"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và người mới bị chảy máu đường tiêu hoá .</w:t>
      </w:r>
    </w:p>
    <w:p w14:paraId="641BFCC5" w14:textId="45FCCF2F" w:rsidR="009A4C3A" w:rsidRPr="003579D7" w:rsidRDefault="009A4C3A" w:rsidP="003579D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Người cao tuổi , do bệnh tật hoặc do </w:t>
      </w:r>
      <w:r w:rsidR="0065630C"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điều trị thuốc có thể bị táo bón hoặc phân rắn .</w:t>
      </w:r>
    </w:p>
    <w:p w14:paraId="0EA50C01" w14:textId="51E9AFCC" w:rsidR="0065630C" w:rsidRPr="003579D7" w:rsidRDefault="0065630C" w:rsidP="003579D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Kiểm tra định kỳ nồng độ phosphat</w:t>
      </w:r>
      <w:r w:rsidR="00080460" w:rsidRPr="00357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trong quá trình điều trị lâu dài.</w:t>
      </w:r>
    </w:p>
    <w:p w14:paraId="0439C982" w14:textId="438C278E" w:rsidR="005714C6" w:rsidRDefault="00EB072B" w:rsidP="00C1456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167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Sử dụng cho phụ nữ có thai và cho con bú:</w:t>
      </w:r>
    </w:p>
    <w:p w14:paraId="6DF0BE29" w14:textId="2ABF905D" w:rsidR="00101864" w:rsidRPr="00B01FBF" w:rsidRDefault="009533B6" w:rsidP="0040709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01F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Thuốc dùng được cho phụ nữ mang thai và cho con bú nhưng </w:t>
      </w:r>
      <w:r w:rsidR="001422A7" w:rsidRPr="00B01F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tránh dùng liều cao và kéo dài.</w:t>
      </w:r>
    </w:p>
    <w:p w14:paraId="1452E7B2" w14:textId="45F9A372" w:rsidR="00C854C7" w:rsidRDefault="00C854C7" w:rsidP="00C145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7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Tác dụng không mong muốn</w:t>
      </w:r>
      <w:r w:rsidRPr="00B167D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001360" w14:textId="3420A29F" w:rsidR="001422A7" w:rsidRDefault="00844F23" w:rsidP="00C145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Các phản ứng xảy ra khi dùng thuốc kéo dài và dùng liều cao.</w:t>
      </w:r>
    </w:p>
    <w:p w14:paraId="630B849A" w14:textId="30AA0708" w:rsidR="00844F23" w:rsidRDefault="00844F23" w:rsidP="00844F23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Chát miệng, cứng bụng , buồn nôn, nôn </w:t>
      </w:r>
      <w:r w:rsidR="008C1330">
        <w:rPr>
          <w:rFonts w:ascii="Times New Roman" w:hAnsi="Times New Roman" w:cs="Times New Roman"/>
          <w:color w:val="000000" w:themeColor="text1"/>
          <w:sz w:val="28"/>
          <w:szCs w:val="28"/>
        </w:rPr>
        <w:t>, phân trắng.</w:t>
      </w:r>
    </w:p>
    <w:p w14:paraId="05DC88EA" w14:textId="57A2667E" w:rsidR="008C1330" w:rsidRDefault="008C1330" w:rsidP="00844F23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Giảm phosphat máu , giảm magnesi máu.</w:t>
      </w:r>
    </w:p>
    <w:p w14:paraId="0C42C8B8" w14:textId="285C1E01" w:rsidR="008C1330" w:rsidRDefault="008C1330" w:rsidP="00844F23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Nhuyễn xương, bệnh não, sa sút trí tuệ </w:t>
      </w:r>
      <w:r w:rsidR="003F1A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và thiếu máu hồng cầu nhỏ đã xảy ra với người suy thận mạn tính </w:t>
      </w:r>
      <w:r w:rsidR="0067030C">
        <w:rPr>
          <w:rFonts w:ascii="Times New Roman" w:hAnsi="Times New Roman" w:cs="Times New Roman"/>
          <w:color w:val="000000" w:themeColor="text1"/>
          <w:sz w:val="28"/>
          <w:szCs w:val="28"/>
        </w:rPr>
        <w:t>dùng nhôm hydroxyd làm tác nhân gây dính kết phosphat.</w:t>
      </w:r>
    </w:p>
    <w:p w14:paraId="30B267CA" w14:textId="594ABBCD" w:rsidR="008C1330" w:rsidRPr="00B01FBF" w:rsidRDefault="0067030C" w:rsidP="001C38A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F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Ngộ  độc nhôm </w:t>
      </w:r>
      <w:r w:rsidR="00D74D5E" w:rsidRPr="00B01FBF">
        <w:rPr>
          <w:rFonts w:ascii="Times New Roman" w:hAnsi="Times New Roman" w:cs="Times New Roman"/>
          <w:color w:val="000000" w:themeColor="text1"/>
          <w:sz w:val="28"/>
          <w:szCs w:val="28"/>
        </w:rPr>
        <w:t>và nhuyễn xương có thể xảy ra ở người bệnh có hội chứng ure máu cao.</w:t>
      </w:r>
    </w:p>
    <w:p w14:paraId="25651F5C" w14:textId="47BD2E74" w:rsidR="00EB072B" w:rsidRDefault="00ED77F3" w:rsidP="00C1456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B167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Tương tác, tương kỵ của thuốc:</w:t>
      </w:r>
    </w:p>
    <w:p w14:paraId="3FABF31B" w14:textId="67B8502F" w:rsidR="00D74D5E" w:rsidRPr="00B01FBF" w:rsidRDefault="00F61D85" w:rsidP="00B01FB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B01F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Thuốc </w:t>
      </w:r>
      <w:r w:rsidR="009765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kháng acid </w:t>
      </w:r>
      <w:r w:rsidRPr="00B01F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có </w:t>
      </w:r>
      <w:r w:rsidR="009765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thể làm thay đổi hấp thu của các thuốc</w:t>
      </w:r>
      <w:r w:rsidRPr="00B01F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do vậy có thể làm giảm hiệu quả điều trị với một số loại thuốc khác như</w:t>
      </w:r>
      <w:r w:rsidR="004162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khi uống cùng với các thuốc:</w:t>
      </w:r>
      <w:r w:rsidRPr="00B01F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penicillamine,</w:t>
      </w:r>
      <w:r w:rsidR="00E701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phenothiazine,</w:t>
      </w:r>
      <w:r w:rsidR="00E602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benzodiazepine,</w:t>
      </w:r>
      <w:r w:rsidR="008E2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corticosteroid,</w:t>
      </w:r>
      <w:r w:rsidRPr="00B01F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muối</w:t>
      </w:r>
      <w:r w:rsidR="007524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sắt</w:t>
      </w:r>
      <w:r w:rsidRPr="00B01F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4162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1F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tetracycline</w:t>
      </w:r>
      <w:r w:rsidR="00D92E02" w:rsidRPr="00B01F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7524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92E02" w:rsidRPr="00B01F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isoniazid, allopurinol</w:t>
      </w:r>
      <w:r w:rsidR="000463E3" w:rsidRPr="00B01F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7524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ranitidin, </w:t>
      </w:r>
      <w:r w:rsidR="000463E3" w:rsidRPr="00B01F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ketoconazole</w:t>
      </w:r>
      <w:r w:rsidR="006712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itraconazol</w:t>
      </w:r>
      <w:r w:rsidRPr="00B01F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Do vậy, nếu sử dụng các loại thuốc khác trong thời điểm đó,</w:t>
      </w:r>
      <w:r w:rsidR="006712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1F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nên dùng Asigastrogit cách thuốc đó ít nhất 2 giờ để không gặp tình trạng tương tác thuốc xảy ra.</w:t>
      </w:r>
    </w:p>
    <w:p w14:paraId="7B3CE308" w14:textId="75CCF067" w:rsidR="00072068" w:rsidRDefault="00072068" w:rsidP="0007206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720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Quá liều:</w:t>
      </w:r>
    </w:p>
    <w:p w14:paraId="1988FF3D" w14:textId="4EFAEDEF" w:rsidR="0059037E" w:rsidRDefault="00CA182E" w:rsidP="0007206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959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Ngừng dùng thuốc ngay và rửa dạ dày.</w:t>
      </w:r>
    </w:p>
    <w:p w14:paraId="0B86B727" w14:textId="77777777" w:rsidR="00AE4252" w:rsidRPr="00CA182E" w:rsidRDefault="00AE4252" w:rsidP="0007206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36F664D" w14:textId="4ED15F0B" w:rsidR="00D857AB" w:rsidRPr="00B167D1" w:rsidRDefault="006F3ECD" w:rsidP="00C145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67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Đơn giá: </w:t>
      </w:r>
      <w:r w:rsidR="005669D3" w:rsidRPr="00B167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5221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530</w:t>
      </w:r>
      <w:r w:rsidR="00410D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đồng/ gói</w:t>
      </w:r>
    </w:p>
    <w:p w14:paraId="43B4812C" w14:textId="77777777" w:rsidR="00C14563" w:rsidRPr="00B167D1" w:rsidRDefault="00C14563" w:rsidP="00C145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ECC4FB8" w14:textId="33C95CD4" w:rsidR="007750E5" w:rsidRPr="00B167D1" w:rsidRDefault="00AE4252" w:rsidP="00C1456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</w:t>
      </w:r>
      <w:r w:rsidR="00C16D26" w:rsidRPr="00B167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DS</w:t>
      </w:r>
      <w:r w:rsidR="00C268FB" w:rsidRPr="00B167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Nguyễn Thị Hường</w:t>
      </w:r>
    </w:p>
    <w:p w14:paraId="7F1B44C5" w14:textId="77777777" w:rsidR="00C854C7" w:rsidRPr="00B167D1" w:rsidRDefault="00C854C7" w:rsidP="00D857A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2A2E61" w14:textId="77777777" w:rsidR="003B0B88" w:rsidRPr="00B167D1" w:rsidRDefault="003B0B88" w:rsidP="00D857A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421FF8" w14:textId="77777777" w:rsidR="0011324F" w:rsidRPr="0011324F" w:rsidRDefault="0011324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1324F" w:rsidRPr="0011324F" w:rsidSect="00ED77F3"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254"/>
    <w:multiLevelType w:val="hybridMultilevel"/>
    <w:tmpl w:val="ED2AE38E"/>
    <w:lvl w:ilvl="0" w:tplc="255A5A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B0817"/>
    <w:multiLevelType w:val="hybridMultilevel"/>
    <w:tmpl w:val="2B9C7F86"/>
    <w:lvl w:ilvl="0" w:tplc="219A77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732CD"/>
    <w:multiLevelType w:val="hybridMultilevel"/>
    <w:tmpl w:val="45403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03E97"/>
    <w:multiLevelType w:val="hybridMultilevel"/>
    <w:tmpl w:val="F2C03C58"/>
    <w:lvl w:ilvl="0" w:tplc="219A77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5332B"/>
    <w:multiLevelType w:val="hybridMultilevel"/>
    <w:tmpl w:val="675A5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04CC0"/>
    <w:multiLevelType w:val="hybridMultilevel"/>
    <w:tmpl w:val="6C5A364A"/>
    <w:lvl w:ilvl="0" w:tplc="255A5A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E2AAF"/>
    <w:multiLevelType w:val="hybridMultilevel"/>
    <w:tmpl w:val="6916D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92765"/>
    <w:multiLevelType w:val="hybridMultilevel"/>
    <w:tmpl w:val="DC0C4C0A"/>
    <w:lvl w:ilvl="0" w:tplc="219A77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6F0E"/>
    <w:multiLevelType w:val="hybridMultilevel"/>
    <w:tmpl w:val="1D6ADA2C"/>
    <w:lvl w:ilvl="0" w:tplc="255A5A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87A8F"/>
    <w:multiLevelType w:val="hybridMultilevel"/>
    <w:tmpl w:val="2398E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21464F"/>
    <w:multiLevelType w:val="hybridMultilevel"/>
    <w:tmpl w:val="2BC80E12"/>
    <w:lvl w:ilvl="0" w:tplc="255A5A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C7140"/>
    <w:multiLevelType w:val="hybridMultilevel"/>
    <w:tmpl w:val="31528D26"/>
    <w:lvl w:ilvl="0" w:tplc="256873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46D5C"/>
    <w:multiLevelType w:val="multilevel"/>
    <w:tmpl w:val="4B4AE2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C06BCF"/>
    <w:multiLevelType w:val="multilevel"/>
    <w:tmpl w:val="6204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581A42"/>
    <w:multiLevelType w:val="hybridMultilevel"/>
    <w:tmpl w:val="30A0DBFE"/>
    <w:lvl w:ilvl="0" w:tplc="255A5A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953CD"/>
    <w:multiLevelType w:val="multilevel"/>
    <w:tmpl w:val="53B266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091042"/>
    <w:multiLevelType w:val="multilevel"/>
    <w:tmpl w:val="F07C5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A83824"/>
    <w:multiLevelType w:val="multilevel"/>
    <w:tmpl w:val="1AF0BE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9C06C7"/>
    <w:multiLevelType w:val="hybridMultilevel"/>
    <w:tmpl w:val="76BE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C015E"/>
    <w:multiLevelType w:val="hybridMultilevel"/>
    <w:tmpl w:val="3DE85968"/>
    <w:lvl w:ilvl="0" w:tplc="255A5A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B549B"/>
    <w:multiLevelType w:val="hybridMultilevel"/>
    <w:tmpl w:val="0D64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B2B68"/>
    <w:multiLevelType w:val="multilevel"/>
    <w:tmpl w:val="D6BA21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344462"/>
    <w:multiLevelType w:val="hybridMultilevel"/>
    <w:tmpl w:val="5178F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2307F"/>
    <w:multiLevelType w:val="multilevel"/>
    <w:tmpl w:val="794A71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DF3275"/>
    <w:multiLevelType w:val="multilevel"/>
    <w:tmpl w:val="EF24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80276E"/>
    <w:multiLevelType w:val="multilevel"/>
    <w:tmpl w:val="DF94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696179"/>
    <w:multiLevelType w:val="multilevel"/>
    <w:tmpl w:val="4FC217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3C1C73"/>
    <w:multiLevelType w:val="hybridMultilevel"/>
    <w:tmpl w:val="1C5C6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A4CD7"/>
    <w:multiLevelType w:val="hybridMultilevel"/>
    <w:tmpl w:val="1F3A5898"/>
    <w:lvl w:ilvl="0" w:tplc="219A77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1340A"/>
    <w:multiLevelType w:val="hybridMultilevel"/>
    <w:tmpl w:val="271A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EC2267"/>
    <w:multiLevelType w:val="hybridMultilevel"/>
    <w:tmpl w:val="01DEE182"/>
    <w:lvl w:ilvl="0" w:tplc="255A5A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D2036"/>
    <w:multiLevelType w:val="hybridMultilevel"/>
    <w:tmpl w:val="CF08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04774"/>
    <w:multiLevelType w:val="hybridMultilevel"/>
    <w:tmpl w:val="E0887E26"/>
    <w:lvl w:ilvl="0" w:tplc="219A77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9536C"/>
    <w:multiLevelType w:val="hybridMultilevel"/>
    <w:tmpl w:val="857C70D2"/>
    <w:lvl w:ilvl="0" w:tplc="4D144A9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5105A4"/>
    <w:multiLevelType w:val="hybridMultilevel"/>
    <w:tmpl w:val="0B5C2892"/>
    <w:lvl w:ilvl="0" w:tplc="219A77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31E91"/>
    <w:multiLevelType w:val="multilevel"/>
    <w:tmpl w:val="C24C69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314773">
    <w:abstractNumId w:val="11"/>
  </w:num>
  <w:num w:numId="2" w16cid:durableId="1457945368">
    <w:abstractNumId w:val="33"/>
  </w:num>
  <w:num w:numId="3" w16cid:durableId="1064331743">
    <w:abstractNumId w:val="2"/>
  </w:num>
  <w:num w:numId="4" w16cid:durableId="1653680672">
    <w:abstractNumId w:val="31"/>
  </w:num>
  <w:num w:numId="5" w16cid:durableId="251205378">
    <w:abstractNumId w:val="16"/>
  </w:num>
  <w:num w:numId="6" w16cid:durableId="1978602827">
    <w:abstractNumId w:val="29"/>
  </w:num>
  <w:num w:numId="7" w16cid:durableId="1757939644">
    <w:abstractNumId w:val="27"/>
  </w:num>
  <w:num w:numId="8" w16cid:durableId="1977299033">
    <w:abstractNumId w:val="12"/>
  </w:num>
  <w:num w:numId="9" w16cid:durableId="1108548392">
    <w:abstractNumId w:val="9"/>
  </w:num>
  <w:num w:numId="10" w16cid:durableId="920335946">
    <w:abstractNumId w:val="18"/>
  </w:num>
  <w:num w:numId="11" w16cid:durableId="1819759930">
    <w:abstractNumId w:val="35"/>
  </w:num>
  <w:num w:numId="12" w16cid:durableId="2024017621">
    <w:abstractNumId w:val="21"/>
  </w:num>
  <w:num w:numId="13" w16cid:durableId="58791831">
    <w:abstractNumId w:val="4"/>
  </w:num>
  <w:num w:numId="14" w16cid:durableId="711199805">
    <w:abstractNumId w:val="17"/>
  </w:num>
  <w:num w:numId="15" w16cid:durableId="156386254">
    <w:abstractNumId w:val="15"/>
  </w:num>
  <w:num w:numId="16" w16cid:durableId="412553753">
    <w:abstractNumId w:val="26"/>
  </w:num>
  <w:num w:numId="17" w16cid:durableId="933978049">
    <w:abstractNumId w:val="23"/>
  </w:num>
  <w:num w:numId="18" w16cid:durableId="2034723790">
    <w:abstractNumId w:val="6"/>
  </w:num>
  <w:num w:numId="19" w16cid:durableId="195392934">
    <w:abstractNumId w:val="22"/>
  </w:num>
  <w:num w:numId="20" w16cid:durableId="1392995210">
    <w:abstractNumId w:val="20"/>
  </w:num>
  <w:num w:numId="21" w16cid:durableId="292322936">
    <w:abstractNumId w:val="25"/>
  </w:num>
  <w:num w:numId="22" w16cid:durableId="1664428844">
    <w:abstractNumId w:val="13"/>
  </w:num>
  <w:num w:numId="23" w16cid:durableId="1816095108">
    <w:abstractNumId w:val="7"/>
  </w:num>
  <w:num w:numId="24" w16cid:durableId="204370426">
    <w:abstractNumId w:val="24"/>
  </w:num>
  <w:num w:numId="25" w16cid:durableId="1976637354">
    <w:abstractNumId w:val="28"/>
  </w:num>
  <w:num w:numId="26" w16cid:durableId="1573198131">
    <w:abstractNumId w:val="3"/>
  </w:num>
  <w:num w:numId="27" w16cid:durableId="1856261316">
    <w:abstractNumId w:val="34"/>
  </w:num>
  <w:num w:numId="28" w16cid:durableId="1446654258">
    <w:abstractNumId w:val="1"/>
  </w:num>
  <w:num w:numId="29" w16cid:durableId="574823069">
    <w:abstractNumId w:val="32"/>
  </w:num>
  <w:num w:numId="30" w16cid:durableId="1885411339">
    <w:abstractNumId w:val="8"/>
  </w:num>
  <w:num w:numId="31" w16cid:durableId="308172133">
    <w:abstractNumId w:val="14"/>
  </w:num>
  <w:num w:numId="32" w16cid:durableId="1709210960">
    <w:abstractNumId w:val="5"/>
  </w:num>
  <w:num w:numId="33" w16cid:durableId="1551304619">
    <w:abstractNumId w:val="0"/>
  </w:num>
  <w:num w:numId="34" w16cid:durableId="1335036586">
    <w:abstractNumId w:val="19"/>
  </w:num>
  <w:num w:numId="35" w16cid:durableId="1999768480">
    <w:abstractNumId w:val="30"/>
  </w:num>
  <w:num w:numId="36" w16cid:durableId="3678728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F3"/>
    <w:rsid w:val="00022879"/>
    <w:rsid w:val="0003359B"/>
    <w:rsid w:val="000463E3"/>
    <w:rsid w:val="00056E3A"/>
    <w:rsid w:val="00072068"/>
    <w:rsid w:val="00080460"/>
    <w:rsid w:val="000A6496"/>
    <w:rsid w:val="000D6FFD"/>
    <w:rsid w:val="00101864"/>
    <w:rsid w:val="0011324F"/>
    <w:rsid w:val="0012366E"/>
    <w:rsid w:val="00135F04"/>
    <w:rsid w:val="001422A7"/>
    <w:rsid w:val="001A3606"/>
    <w:rsid w:val="001D4C9C"/>
    <w:rsid w:val="001E609C"/>
    <w:rsid w:val="001F467C"/>
    <w:rsid w:val="00207050"/>
    <w:rsid w:val="0026518E"/>
    <w:rsid w:val="00285DBE"/>
    <w:rsid w:val="0029595F"/>
    <w:rsid w:val="002D4E4A"/>
    <w:rsid w:val="00301903"/>
    <w:rsid w:val="003229D6"/>
    <w:rsid w:val="0035795C"/>
    <w:rsid w:val="003579D7"/>
    <w:rsid w:val="00360074"/>
    <w:rsid w:val="003628C5"/>
    <w:rsid w:val="0039622F"/>
    <w:rsid w:val="003978EA"/>
    <w:rsid w:val="003A61FA"/>
    <w:rsid w:val="003B0B88"/>
    <w:rsid w:val="003B62EE"/>
    <w:rsid w:val="003C4923"/>
    <w:rsid w:val="003C541E"/>
    <w:rsid w:val="003D65B2"/>
    <w:rsid w:val="003F1330"/>
    <w:rsid w:val="003F1A24"/>
    <w:rsid w:val="004050F3"/>
    <w:rsid w:val="00410DD8"/>
    <w:rsid w:val="0041627B"/>
    <w:rsid w:val="0044501A"/>
    <w:rsid w:val="00486CC2"/>
    <w:rsid w:val="00506EC7"/>
    <w:rsid w:val="005221DC"/>
    <w:rsid w:val="005269A7"/>
    <w:rsid w:val="00546E3C"/>
    <w:rsid w:val="00561443"/>
    <w:rsid w:val="005669D3"/>
    <w:rsid w:val="005714C6"/>
    <w:rsid w:val="00581727"/>
    <w:rsid w:val="00590134"/>
    <w:rsid w:val="0059037E"/>
    <w:rsid w:val="005A5132"/>
    <w:rsid w:val="005B3E4A"/>
    <w:rsid w:val="00613A46"/>
    <w:rsid w:val="0065630C"/>
    <w:rsid w:val="0067030C"/>
    <w:rsid w:val="006712D1"/>
    <w:rsid w:val="00682E8A"/>
    <w:rsid w:val="00687150"/>
    <w:rsid w:val="006A6FAB"/>
    <w:rsid w:val="006D6C47"/>
    <w:rsid w:val="006D6F99"/>
    <w:rsid w:val="006F3ECD"/>
    <w:rsid w:val="00707072"/>
    <w:rsid w:val="00710742"/>
    <w:rsid w:val="00712BB2"/>
    <w:rsid w:val="0075249E"/>
    <w:rsid w:val="007750E5"/>
    <w:rsid w:val="00780CF6"/>
    <w:rsid w:val="00782D9C"/>
    <w:rsid w:val="00784E96"/>
    <w:rsid w:val="00793D0E"/>
    <w:rsid w:val="007A5299"/>
    <w:rsid w:val="007C78B5"/>
    <w:rsid w:val="007F412E"/>
    <w:rsid w:val="00824A37"/>
    <w:rsid w:val="008340FF"/>
    <w:rsid w:val="00844F23"/>
    <w:rsid w:val="00876E37"/>
    <w:rsid w:val="008B783E"/>
    <w:rsid w:val="008B7BE0"/>
    <w:rsid w:val="008C0BB3"/>
    <w:rsid w:val="008C1330"/>
    <w:rsid w:val="008C2F2A"/>
    <w:rsid w:val="008E2688"/>
    <w:rsid w:val="008E3FBE"/>
    <w:rsid w:val="008E6B89"/>
    <w:rsid w:val="00900CA9"/>
    <w:rsid w:val="009370EB"/>
    <w:rsid w:val="00940A53"/>
    <w:rsid w:val="009533B6"/>
    <w:rsid w:val="009765EA"/>
    <w:rsid w:val="00983C63"/>
    <w:rsid w:val="009A4C3A"/>
    <w:rsid w:val="009B6126"/>
    <w:rsid w:val="009D0CBB"/>
    <w:rsid w:val="009D1A4E"/>
    <w:rsid w:val="009E20D2"/>
    <w:rsid w:val="00A17A58"/>
    <w:rsid w:val="00A25551"/>
    <w:rsid w:val="00A71527"/>
    <w:rsid w:val="00A72E04"/>
    <w:rsid w:val="00A85C5B"/>
    <w:rsid w:val="00A91167"/>
    <w:rsid w:val="00AE4252"/>
    <w:rsid w:val="00B016DE"/>
    <w:rsid w:val="00B01FBF"/>
    <w:rsid w:val="00B06446"/>
    <w:rsid w:val="00B167D1"/>
    <w:rsid w:val="00B2554D"/>
    <w:rsid w:val="00B26E8F"/>
    <w:rsid w:val="00B47A3E"/>
    <w:rsid w:val="00B67670"/>
    <w:rsid w:val="00B76CE8"/>
    <w:rsid w:val="00B7745E"/>
    <w:rsid w:val="00B86683"/>
    <w:rsid w:val="00B97C32"/>
    <w:rsid w:val="00BA0342"/>
    <w:rsid w:val="00BA5C73"/>
    <w:rsid w:val="00BA7150"/>
    <w:rsid w:val="00BB54BD"/>
    <w:rsid w:val="00BC5EBF"/>
    <w:rsid w:val="00BC6574"/>
    <w:rsid w:val="00C14563"/>
    <w:rsid w:val="00C16D26"/>
    <w:rsid w:val="00C268FB"/>
    <w:rsid w:val="00C3022A"/>
    <w:rsid w:val="00C43872"/>
    <w:rsid w:val="00C6382F"/>
    <w:rsid w:val="00C6428E"/>
    <w:rsid w:val="00C854C7"/>
    <w:rsid w:val="00CA15F0"/>
    <w:rsid w:val="00CA182E"/>
    <w:rsid w:val="00CB0343"/>
    <w:rsid w:val="00CC5F48"/>
    <w:rsid w:val="00CD0352"/>
    <w:rsid w:val="00CE7748"/>
    <w:rsid w:val="00D06481"/>
    <w:rsid w:val="00D25D38"/>
    <w:rsid w:val="00D31980"/>
    <w:rsid w:val="00D54AF2"/>
    <w:rsid w:val="00D66B1F"/>
    <w:rsid w:val="00D74D5E"/>
    <w:rsid w:val="00D857AB"/>
    <w:rsid w:val="00D86666"/>
    <w:rsid w:val="00D92E02"/>
    <w:rsid w:val="00DA5B0D"/>
    <w:rsid w:val="00DC2250"/>
    <w:rsid w:val="00DF4291"/>
    <w:rsid w:val="00DF4C77"/>
    <w:rsid w:val="00E02468"/>
    <w:rsid w:val="00E468F7"/>
    <w:rsid w:val="00E60270"/>
    <w:rsid w:val="00E6750D"/>
    <w:rsid w:val="00E701FA"/>
    <w:rsid w:val="00E965AB"/>
    <w:rsid w:val="00EB072B"/>
    <w:rsid w:val="00EB20D6"/>
    <w:rsid w:val="00EC1082"/>
    <w:rsid w:val="00ED77F3"/>
    <w:rsid w:val="00EF7B79"/>
    <w:rsid w:val="00F238CF"/>
    <w:rsid w:val="00F40A72"/>
    <w:rsid w:val="00F50E4F"/>
    <w:rsid w:val="00F61D85"/>
    <w:rsid w:val="00F86F46"/>
    <w:rsid w:val="00FA3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3C0DC0"/>
  <w15:docId w15:val="{35D5F448-5E83-49AF-8E77-F11B7537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D77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6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0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0E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D77F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B54B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16D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6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586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uocbietduoc.com.vn/thuoc-goc-2194/magnesi-carbonat.aspx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huocbietduoc.com.vn/thuoc-goc-35/attapulgite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594C0-0A14-4842-894C-B79098AF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 Viet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Administrator</cp:lastModifiedBy>
  <cp:revision>10</cp:revision>
  <cp:lastPrinted>2021-04-13T01:59:00Z</cp:lastPrinted>
  <dcterms:created xsi:type="dcterms:W3CDTF">2022-08-29T07:50:00Z</dcterms:created>
  <dcterms:modified xsi:type="dcterms:W3CDTF">2022-08-29T08:06:00Z</dcterms:modified>
</cp:coreProperties>
</file>