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9E9" w14:textId="722F5A61" w:rsidR="004050F3" w:rsidRPr="003F1330" w:rsidRDefault="00C16D26">
      <w:pPr>
        <w:rPr>
          <w:rFonts w:ascii="Times New Roman" w:hAnsi="Times New Roman" w:cs="Times New Roman"/>
          <w:b/>
          <w:u w:val="single"/>
        </w:rPr>
      </w:pPr>
      <w:r>
        <w:rPr>
          <w:rFonts w:ascii="Times New Roman" w:hAnsi="Times New Roman" w:cs="Times New Roman"/>
          <w:b/>
          <w:u w:val="single"/>
        </w:rPr>
        <w:t xml:space="preserve">ĐƠN VỊ THÔNG TIN THUỐC </w:t>
      </w:r>
      <w:r w:rsidR="004050F3" w:rsidRPr="004050F3">
        <w:rPr>
          <w:rFonts w:ascii="Times New Roman" w:hAnsi="Times New Roman" w:cs="Times New Roman"/>
          <w:b/>
          <w:u w:val="single"/>
        </w:rPr>
        <w:t>- BV PHCN</w:t>
      </w:r>
      <w:r>
        <w:rPr>
          <w:rFonts w:ascii="Times New Roman" w:hAnsi="Times New Roman" w:cs="Times New Roman"/>
          <w:b/>
          <w:u w:val="single"/>
        </w:rPr>
        <w:t xml:space="preserve"> </w:t>
      </w:r>
      <w:r w:rsidR="003F1330">
        <w:rPr>
          <w:rFonts w:ascii="Times New Roman" w:hAnsi="Times New Roman" w:cs="Times New Roman"/>
          <w:b/>
          <w:u w:val="single"/>
        </w:rPr>
        <w:t>–</w:t>
      </w:r>
      <w:r>
        <w:rPr>
          <w:rFonts w:ascii="Times New Roman" w:hAnsi="Times New Roman" w:cs="Times New Roman"/>
          <w:b/>
          <w:u w:val="single"/>
        </w:rPr>
        <w:t>THÁNG</w:t>
      </w:r>
      <w:r w:rsidR="00B230CA">
        <w:rPr>
          <w:rFonts w:ascii="Times New Roman" w:hAnsi="Times New Roman" w:cs="Times New Roman"/>
          <w:b/>
          <w:u w:val="single"/>
        </w:rPr>
        <w:t xml:space="preserve"> 0</w:t>
      </w:r>
      <w:r w:rsidR="00F20A2F">
        <w:rPr>
          <w:rFonts w:ascii="Times New Roman" w:hAnsi="Times New Roman" w:cs="Times New Roman"/>
          <w:b/>
          <w:u w:val="single"/>
        </w:rPr>
        <w:t>4/2022</w:t>
      </w:r>
    </w:p>
    <w:p w14:paraId="753862A5" w14:textId="20871F47" w:rsidR="004050F3" w:rsidRPr="00D857AB" w:rsidRDefault="00107739" w:rsidP="004050F3">
      <w:pPr>
        <w:jc w:val="center"/>
        <w:rPr>
          <w:rFonts w:ascii="Times New Roman" w:hAnsi="Times New Roman" w:cs="Times New Roman"/>
          <w:b/>
          <w:sz w:val="36"/>
          <w:szCs w:val="36"/>
        </w:rPr>
      </w:pPr>
      <w:r>
        <w:rPr>
          <w:rFonts w:ascii="Times New Roman" w:hAnsi="Times New Roman" w:cs="Times New Roman"/>
          <w:b/>
          <w:sz w:val="36"/>
          <w:szCs w:val="36"/>
        </w:rPr>
        <w:t xml:space="preserve">ESOGAS </w:t>
      </w:r>
    </w:p>
    <w:p w14:paraId="0F2D3A26" w14:textId="362769F0" w:rsidR="003B0B88" w:rsidRDefault="00127369" w:rsidP="004050F3">
      <w:pPr>
        <w:jc w:val="center"/>
        <w:rPr>
          <w:rFonts w:ascii="Times New Roman" w:hAnsi="Times New Roman" w:cs="Times New Roman"/>
          <w:b/>
          <w:sz w:val="32"/>
          <w:szCs w:val="32"/>
        </w:rPr>
      </w:pPr>
      <w:r>
        <w:rPr>
          <w:b/>
          <w:noProof/>
          <w:sz w:val="32"/>
          <w:szCs w:val="32"/>
        </w:rPr>
        <w:drawing>
          <wp:inline distT="0" distB="0" distL="0" distR="0" wp14:anchorId="2117DCA1" wp14:editId="5276E28D">
            <wp:extent cx="996059" cy="749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5266" cy="755952"/>
                    </a:xfrm>
                    <a:prstGeom prst="rect">
                      <a:avLst/>
                    </a:prstGeom>
                    <a:noFill/>
                    <a:ln>
                      <a:noFill/>
                    </a:ln>
                  </pic:spPr>
                </pic:pic>
              </a:graphicData>
            </a:graphic>
          </wp:inline>
        </w:drawing>
      </w:r>
    </w:p>
    <w:p w14:paraId="551C6DFD" w14:textId="77777777" w:rsidR="00C14563" w:rsidRDefault="00C14563" w:rsidP="00C14563">
      <w:pPr>
        <w:spacing w:after="0" w:line="240" w:lineRule="auto"/>
        <w:jc w:val="both"/>
        <w:rPr>
          <w:rFonts w:ascii="Times New Roman" w:hAnsi="Times New Roman" w:cs="Times New Roman"/>
          <w:b/>
          <w:sz w:val="26"/>
          <w:szCs w:val="28"/>
          <w:u w:val="single"/>
        </w:rPr>
      </w:pPr>
    </w:p>
    <w:p w14:paraId="555471F7" w14:textId="1198BF2A" w:rsidR="0091488F" w:rsidRPr="00127369" w:rsidRDefault="004050F3" w:rsidP="00F429F1">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
          <w:color w:val="000000" w:themeColor="text1"/>
          <w:sz w:val="26"/>
          <w:szCs w:val="26"/>
          <w:u w:val="single"/>
        </w:rPr>
        <w:t>Thành phần</w:t>
      </w:r>
      <w:r w:rsidRPr="00127369">
        <w:rPr>
          <w:rFonts w:ascii="Times New Roman" w:hAnsi="Times New Roman" w:cs="Times New Roman"/>
          <w:b/>
          <w:color w:val="000000" w:themeColor="text1"/>
          <w:sz w:val="26"/>
          <w:szCs w:val="26"/>
        </w:rPr>
        <w:t>:</w:t>
      </w:r>
      <w:r w:rsidR="00793D0E" w:rsidRPr="00127369">
        <w:rPr>
          <w:rFonts w:ascii="Times New Roman" w:hAnsi="Times New Roman" w:cs="Times New Roman"/>
          <w:b/>
          <w:color w:val="000000" w:themeColor="text1"/>
          <w:sz w:val="26"/>
          <w:szCs w:val="26"/>
        </w:rPr>
        <w:t xml:space="preserve"> </w:t>
      </w:r>
      <w:r w:rsidR="0097481D" w:rsidRPr="00127369">
        <w:rPr>
          <w:rFonts w:ascii="Times New Roman" w:hAnsi="Times New Roman" w:cs="Times New Roman"/>
          <w:bCs/>
          <w:color w:val="000000" w:themeColor="text1"/>
          <w:sz w:val="26"/>
          <w:szCs w:val="26"/>
        </w:rPr>
        <w:t>Mỗi lọ bột đông khô pha tiêm có chứa.</w:t>
      </w:r>
    </w:p>
    <w:p w14:paraId="76E2672F" w14:textId="2CEA77C8" w:rsidR="00D13D09" w:rsidRPr="00127369" w:rsidRDefault="00D13D09" w:rsidP="00F429F1">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ab/>
        <w:t>Lọ bột đông khô pha tiêm:</w:t>
      </w:r>
    </w:p>
    <w:p w14:paraId="3EB466DD" w14:textId="57BCDDAB" w:rsidR="00B7745E" w:rsidRPr="00127369" w:rsidRDefault="00992F6E" w:rsidP="00F429F1">
      <w:pPr>
        <w:pStyle w:val="ListParagraph"/>
        <w:numPr>
          <w:ilvl w:val="0"/>
          <w:numId w:val="30"/>
        </w:numPr>
        <w:spacing w:after="0" w:line="240" w:lineRule="auto"/>
        <w:jc w:val="both"/>
        <w:rPr>
          <w:rFonts w:ascii="Times New Roman" w:hAnsi="Times New Roman" w:cs="Times New Roman"/>
          <w:color w:val="000000" w:themeColor="text1"/>
          <w:sz w:val="26"/>
          <w:szCs w:val="26"/>
          <w:shd w:val="clear" w:color="auto" w:fill="FFFFFF"/>
        </w:rPr>
      </w:pPr>
      <w:r w:rsidRPr="00127369">
        <w:rPr>
          <w:rFonts w:ascii="Times New Roman" w:hAnsi="Times New Roman" w:cs="Times New Roman"/>
          <w:color w:val="000000" w:themeColor="text1"/>
          <w:sz w:val="26"/>
          <w:szCs w:val="26"/>
        </w:rPr>
        <w:t>Esomeprazol (dưới dạng esomeprazol natri)</w:t>
      </w:r>
      <w:r w:rsidR="00BB54BD" w:rsidRPr="00127369">
        <w:rPr>
          <w:rFonts w:ascii="Times New Roman" w:hAnsi="Times New Roman" w:cs="Times New Roman"/>
          <w:color w:val="000000" w:themeColor="text1"/>
          <w:sz w:val="26"/>
          <w:szCs w:val="26"/>
        </w:rPr>
        <w:t>…………………</w:t>
      </w:r>
      <w:r w:rsidRPr="00127369">
        <w:rPr>
          <w:rFonts w:ascii="Times New Roman" w:hAnsi="Times New Roman" w:cs="Times New Roman"/>
          <w:color w:val="000000" w:themeColor="text1"/>
          <w:sz w:val="26"/>
          <w:szCs w:val="26"/>
          <w:shd w:val="clear" w:color="auto" w:fill="FFFFFF"/>
        </w:rPr>
        <w:t>…40 mg</w:t>
      </w:r>
    </w:p>
    <w:p w14:paraId="07CDBDFE" w14:textId="31E29813" w:rsidR="00472D02" w:rsidRPr="00127369" w:rsidRDefault="00BB54BD" w:rsidP="00F429F1">
      <w:pPr>
        <w:pStyle w:val="ListParagraph"/>
        <w:numPr>
          <w:ilvl w:val="0"/>
          <w:numId w:val="30"/>
        </w:numPr>
        <w:spacing w:after="0" w:line="240" w:lineRule="auto"/>
        <w:jc w:val="both"/>
        <w:rPr>
          <w:rFonts w:ascii="Times New Roman" w:hAnsi="Times New Roman" w:cs="Times New Roman"/>
          <w:color w:val="000000" w:themeColor="text1"/>
          <w:sz w:val="26"/>
          <w:szCs w:val="26"/>
          <w:shd w:val="clear" w:color="auto" w:fill="FFFFFF"/>
        </w:rPr>
      </w:pPr>
      <w:r w:rsidRPr="00127369">
        <w:rPr>
          <w:rFonts w:ascii="Times New Roman" w:hAnsi="Times New Roman" w:cs="Times New Roman"/>
          <w:color w:val="000000" w:themeColor="text1"/>
          <w:sz w:val="26"/>
          <w:szCs w:val="26"/>
          <w:shd w:val="clear" w:color="auto" w:fill="FFFFFF"/>
        </w:rPr>
        <w:t>Tá dược vđ………………………………</w:t>
      </w:r>
      <w:r w:rsidR="00992F6E" w:rsidRPr="00127369">
        <w:rPr>
          <w:rFonts w:ascii="Times New Roman" w:hAnsi="Times New Roman" w:cs="Times New Roman"/>
          <w:color w:val="000000" w:themeColor="text1"/>
          <w:sz w:val="26"/>
          <w:szCs w:val="26"/>
          <w:shd w:val="clear" w:color="auto" w:fill="FFFFFF"/>
        </w:rPr>
        <w:t>………………………vđ 1 lọ</w:t>
      </w:r>
    </w:p>
    <w:p w14:paraId="59B6DA43" w14:textId="263A610D" w:rsidR="00C14563" w:rsidRPr="00127369" w:rsidRDefault="00D13D09" w:rsidP="00D13D09">
      <w:pPr>
        <w:spacing w:after="0" w:line="240" w:lineRule="auto"/>
        <w:ind w:left="720"/>
        <w:jc w:val="both"/>
        <w:rPr>
          <w:rFonts w:ascii="Times New Roman" w:hAnsi="Times New Roman" w:cs="Times New Roman"/>
          <w:color w:val="000000" w:themeColor="text1"/>
          <w:sz w:val="26"/>
          <w:szCs w:val="26"/>
          <w:shd w:val="clear" w:color="auto" w:fill="FFFFFF"/>
        </w:rPr>
      </w:pPr>
      <w:r w:rsidRPr="00127369">
        <w:rPr>
          <w:rFonts w:ascii="Times New Roman" w:hAnsi="Times New Roman" w:cs="Times New Roman"/>
          <w:color w:val="000000" w:themeColor="text1"/>
          <w:sz w:val="26"/>
          <w:szCs w:val="26"/>
          <w:shd w:val="clear" w:color="auto" w:fill="FFFFFF"/>
        </w:rPr>
        <w:t xml:space="preserve">Ống dung môi pha tiêm : </w:t>
      </w:r>
    </w:p>
    <w:p w14:paraId="28A9ED51" w14:textId="7C4FB371" w:rsidR="00D13D09" w:rsidRPr="00127369" w:rsidRDefault="00D13D09" w:rsidP="00D13D09">
      <w:pPr>
        <w:pStyle w:val="ListParagraph"/>
        <w:numPr>
          <w:ilvl w:val="0"/>
          <w:numId w:val="30"/>
        </w:numPr>
        <w:spacing w:after="0" w:line="240" w:lineRule="auto"/>
        <w:jc w:val="both"/>
        <w:rPr>
          <w:rFonts w:ascii="Times New Roman" w:hAnsi="Times New Roman" w:cs="Times New Roman"/>
          <w:b/>
          <w:color w:val="000000" w:themeColor="text1"/>
          <w:sz w:val="26"/>
          <w:szCs w:val="26"/>
          <w:u w:val="single"/>
        </w:rPr>
      </w:pPr>
      <w:r w:rsidRPr="00127369">
        <w:rPr>
          <w:rFonts w:ascii="Times New Roman" w:hAnsi="Times New Roman" w:cs="Times New Roman"/>
          <w:bCs/>
          <w:color w:val="000000" w:themeColor="text1"/>
          <w:sz w:val="26"/>
          <w:szCs w:val="26"/>
        </w:rPr>
        <w:t>Natri clorid</w:t>
      </w:r>
      <w:r w:rsidR="00D7217A" w:rsidRPr="00127369">
        <w:rPr>
          <w:rFonts w:ascii="Times New Roman" w:hAnsi="Times New Roman" w:cs="Times New Roman"/>
          <w:bCs/>
          <w:color w:val="000000" w:themeColor="text1"/>
          <w:sz w:val="26"/>
          <w:szCs w:val="26"/>
        </w:rPr>
        <w:t>, nước cất pha tiêm…………………………………..vđ5ml.</w:t>
      </w:r>
    </w:p>
    <w:p w14:paraId="56E01B20" w14:textId="51085C62" w:rsidR="004050F3" w:rsidRPr="00127369" w:rsidRDefault="004050F3" w:rsidP="00F429F1">
      <w:pPr>
        <w:spacing w:after="0" w:line="240" w:lineRule="auto"/>
        <w:jc w:val="both"/>
        <w:rPr>
          <w:rFonts w:ascii="Times New Roman" w:hAnsi="Times New Roman" w:cs="Times New Roman"/>
          <w:b/>
          <w:color w:val="000000" w:themeColor="text1"/>
          <w:sz w:val="26"/>
          <w:szCs w:val="26"/>
          <w:u w:val="single"/>
        </w:rPr>
      </w:pPr>
      <w:r w:rsidRPr="00127369">
        <w:rPr>
          <w:rFonts w:ascii="Times New Roman" w:hAnsi="Times New Roman" w:cs="Times New Roman"/>
          <w:b/>
          <w:color w:val="000000" w:themeColor="text1"/>
          <w:sz w:val="26"/>
          <w:szCs w:val="26"/>
          <w:u w:val="single"/>
        </w:rPr>
        <w:t>Chỉ định:</w:t>
      </w:r>
    </w:p>
    <w:p w14:paraId="48CCF42B" w14:textId="703348DB" w:rsidR="005239A3" w:rsidRPr="00127369" w:rsidRDefault="005239A3" w:rsidP="00F429F1">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ab/>
        <w:t xml:space="preserve">Ở người lớn: </w:t>
      </w:r>
    </w:p>
    <w:p w14:paraId="7A7EDAD0" w14:textId="3CF7744A" w:rsidR="005239A3" w:rsidRPr="00127369" w:rsidRDefault="005239A3" w:rsidP="00F429F1">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ab/>
        <w:t xml:space="preserve">- Điều trị kháng tiết acid dạ dày khi liệu pháp </w:t>
      </w:r>
      <w:r w:rsidR="00837E86" w:rsidRPr="00127369">
        <w:rPr>
          <w:rFonts w:ascii="Times New Roman" w:hAnsi="Times New Roman" w:cs="Times New Roman"/>
          <w:bCs/>
          <w:color w:val="000000" w:themeColor="text1"/>
          <w:sz w:val="26"/>
          <w:szCs w:val="26"/>
        </w:rPr>
        <w:t xml:space="preserve">đường uống không thích hợp, như: </w:t>
      </w:r>
    </w:p>
    <w:p w14:paraId="7C352281" w14:textId="5843BC72" w:rsidR="00837E86" w:rsidRPr="00127369" w:rsidRDefault="00837E86" w:rsidP="00F429F1">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ab/>
        <w:t xml:space="preserve">+ </w:t>
      </w:r>
      <w:r w:rsidR="00075DEC" w:rsidRPr="00127369">
        <w:rPr>
          <w:rFonts w:ascii="Times New Roman" w:hAnsi="Times New Roman" w:cs="Times New Roman"/>
          <w:bCs/>
          <w:color w:val="000000" w:themeColor="text1"/>
          <w:sz w:val="26"/>
          <w:szCs w:val="26"/>
        </w:rPr>
        <w:t xml:space="preserve">Bệnh trào ngược dạ dày- thực quản (GERD) ở bệnh nhân bị viêm thực quản và/hoặc </w:t>
      </w:r>
      <w:r w:rsidR="001735E5" w:rsidRPr="00127369">
        <w:rPr>
          <w:rFonts w:ascii="Times New Roman" w:hAnsi="Times New Roman" w:cs="Times New Roman"/>
          <w:bCs/>
          <w:color w:val="000000" w:themeColor="text1"/>
          <w:sz w:val="26"/>
          <w:szCs w:val="26"/>
        </w:rPr>
        <w:t>có các triệu chứng trào ngược nặng.</w:t>
      </w:r>
    </w:p>
    <w:p w14:paraId="39A156AD" w14:textId="13619FA7" w:rsidR="001735E5" w:rsidRPr="00127369" w:rsidRDefault="001735E5" w:rsidP="00F429F1">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ab/>
        <w:t>+ Điều trị loét dạ dày do dùng NSAID.</w:t>
      </w:r>
    </w:p>
    <w:p w14:paraId="233698A5" w14:textId="0B0DEE42" w:rsidR="001735E5" w:rsidRPr="00127369" w:rsidRDefault="001735E5" w:rsidP="00F429F1">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ab/>
        <w:t xml:space="preserve">+ </w:t>
      </w:r>
      <w:r w:rsidR="00CC5E19" w:rsidRPr="00127369">
        <w:rPr>
          <w:rFonts w:ascii="Times New Roman" w:hAnsi="Times New Roman" w:cs="Times New Roman"/>
          <w:bCs/>
          <w:color w:val="000000" w:themeColor="text1"/>
          <w:sz w:val="26"/>
          <w:szCs w:val="26"/>
        </w:rPr>
        <w:t>Dự phòng loét dạ dày và tá tràng do dùng NSAID ở những bệnh nhân có nguy cơ.</w:t>
      </w:r>
    </w:p>
    <w:p w14:paraId="307A0151" w14:textId="666D9F1E" w:rsidR="001D2240" w:rsidRPr="00127369" w:rsidRDefault="001D2240" w:rsidP="00F429F1">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ab/>
        <w:t xml:space="preserve">- Phòng ngừa tái xuất huyết sau khi điều trị nội soi xuất huyết cấp tính </w:t>
      </w:r>
      <w:r w:rsidR="00212365" w:rsidRPr="00127369">
        <w:rPr>
          <w:rFonts w:ascii="Times New Roman" w:hAnsi="Times New Roman" w:cs="Times New Roman"/>
          <w:bCs/>
          <w:color w:val="000000" w:themeColor="text1"/>
          <w:sz w:val="26"/>
          <w:szCs w:val="26"/>
        </w:rPr>
        <w:t>do loét dạ dày hoặc tá tràng.</w:t>
      </w:r>
    </w:p>
    <w:p w14:paraId="167E2734" w14:textId="13385C45" w:rsidR="00F0133E" w:rsidRPr="00127369" w:rsidRDefault="00F0133E" w:rsidP="00F429F1">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ab/>
        <w:t xml:space="preserve"> Ở trẻ em và trẻ vị thành niên từ 1-18 tuổi: Điều trị kháng tiết acid dạ dày </w:t>
      </w:r>
      <w:r w:rsidR="00C60346" w:rsidRPr="00127369">
        <w:rPr>
          <w:rFonts w:ascii="Times New Roman" w:hAnsi="Times New Roman" w:cs="Times New Roman"/>
          <w:bCs/>
          <w:color w:val="000000" w:themeColor="text1"/>
          <w:sz w:val="26"/>
          <w:szCs w:val="26"/>
        </w:rPr>
        <w:t xml:space="preserve">khi liệu pháp đường uống không thích hợp, như : Bệnh trào ngược dạ dày- thực quản </w:t>
      </w:r>
      <w:r w:rsidR="00954979" w:rsidRPr="00127369">
        <w:rPr>
          <w:rFonts w:ascii="Times New Roman" w:hAnsi="Times New Roman" w:cs="Times New Roman"/>
          <w:bCs/>
          <w:color w:val="000000" w:themeColor="text1"/>
          <w:sz w:val="26"/>
          <w:szCs w:val="26"/>
        </w:rPr>
        <w:t xml:space="preserve">(GERD) ở bệnh nhân bị viêm thực quản bào mòn do trào ngược và/hoặc các triệu chứng </w:t>
      </w:r>
      <w:r w:rsidR="00112619" w:rsidRPr="00127369">
        <w:rPr>
          <w:rFonts w:ascii="Times New Roman" w:hAnsi="Times New Roman" w:cs="Times New Roman"/>
          <w:bCs/>
          <w:color w:val="000000" w:themeColor="text1"/>
          <w:sz w:val="26"/>
          <w:szCs w:val="26"/>
        </w:rPr>
        <w:t>trào ngược nặng.</w:t>
      </w:r>
    </w:p>
    <w:p w14:paraId="26466D23" w14:textId="74388992" w:rsidR="004050F3" w:rsidRPr="00127369" w:rsidRDefault="004050F3" w:rsidP="00F429F1">
      <w:pPr>
        <w:spacing w:after="0" w:line="240" w:lineRule="auto"/>
        <w:jc w:val="both"/>
        <w:rPr>
          <w:rFonts w:ascii="Times New Roman" w:hAnsi="Times New Roman" w:cs="Times New Roman"/>
          <w:b/>
          <w:color w:val="000000" w:themeColor="text1"/>
          <w:sz w:val="26"/>
          <w:szCs w:val="26"/>
          <w:u w:val="single"/>
        </w:rPr>
      </w:pPr>
      <w:r w:rsidRPr="00127369">
        <w:rPr>
          <w:rFonts w:ascii="Times New Roman" w:hAnsi="Times New Roman" w:cs="Times New Roman"/>
          <w:b/>
          <w:color w:val="000000" w:themeColor="text1"/>
          <w:sz w:val="26"/>
          <w:szCs w:val="26"/>
          <w:u w:val="single"/>
        </w:rPr>
        <w:t xml:space="preserve">Cách dùng và </w:t>
      </w:r>
      <w:r w:rsidR="00C14563" w:rsidRPr="00127369">
        <w:rPr>
          <w:rFonts w:ascii="Times New Roman" w:hAnsi="Times New Roman" w:cs="Times New Roman"/>
          <w:b/>
          <w:color w:val="000000" w:themeColor="text1"/>
          <w:sz w:val="26"/>
          <w:szCs w:val="26"/>
          <w:u w:val="single"/>
        </w:rPr>
        <w:t>l</w:t>
      </w:r>
      <w:r w:rsidRPr="00127369">
        <w:rPr>
          <w:rFonts w:ascii="Times New Roman" w:hAnsi="Times New Roman" w:cs="Times New Roman"/>
          <w:b/>
          <w:color w:val="000000" w:themeColor="text1"/>
          <w:sz w:val="26"/>
          <w:szCs w:val="26"/>
          <w:u w:val="single"/>
        </w:rPr>
        <w:t>iều dùng:</w:t>
      </w:r>
    </w:p>
    <w:p w14:paraId="3802A352" w14:textId="2A419302" w:rsidR="00112619" w:rsidRPr="00127369" w:rsidRDefault="00112619" w:rsidP="00112619">
      <w:pPr>
        <w:pStyle w:val="ListParagraph"/>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 xml:space="preserve">Người lớn :  </w:t>
      </w:r>
    </w:p>
    <w:p w14:paraId="1BBC6976" w14:textId="597D19AC" w:rsidR="003F766E" w:rsidRPr="00127369" w:rsidRDefault="003F766E" w:rsidP="003F766E">
      <w:pPr>
        <w:spacing w:after="0" w:line="240" w:lineRule="auto"/>
        <w:ind w:firstLine="720"/>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 Điều trị kháng tiết acid dạ dày khi liệu pháp đường uống không thích hợp :</w:t>
      </w:r>
    </w:p>
    <w:p w14:paraId="2F4EC489" w14:textId="39F2C59B" w:rsidR="003F766E" w:rsidRPr="00127369" w:rsidRDefault="003F766E" w:rsidP="003F766E">
      <w:pPr>
        <w:spacing w:after="0" w:line="240" w:lineRule="auto"/>
        <w:ind w:firstLine="720"/>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 xml:space="preserve">+ Bệnh nhân không thể </w:t>
      </w:r>
      <w:r w:rsidR="005C0E54" w:rsidRPr="00127369">
        <w:rPr>
          <w:rFonts w:ascii="Times New Roman" w:hAnsi="Times New Roman" w:cs="Times New Roman"/>
          <w:bCs/>
          <w:color w:val="000000" w:themeColor="text1"/>
          <w:sz w:val="26"/>
          <w:szCs w:val="26"/>
        </w:rPr>
        <w:t xml:space="preserve">dùng thuốc qua đường uống có thể được điều trị bằng dạng </w:t>
      </w:r>
      <w:r w:rsidR="00707031" w:rsidRPr="00127369">
        <w:rPr>
          <w:rFonts w:ascii="Times New Roman" w:hAnsi="Times New Roman" w:cs="Times New Roman"/>
          <w:bCs/>
          <w:color w:val="000000" w:themeColor="text1"/>
          <w:sz w:val="26"/>
          <w:szCs w:val="26"/>
        </w:rPr>
        <w:t xml:space="preserve">tiêm với liều 20-40 mg, 1lần/ngày. Bệnh nhân bị viêm thực quản trào ngược nên điều trị với liều 40 mg, </w:t>
      </w:r>
      <w:r w:rsidR="00F83A3B" w:rsidRPr="00127369">
        <w:rPr>
          <w:rFonts w:ascii="Times New Roman" w:hAnsi="Times New Roman" w:cs="Times New Roman"/>
          <w:bCs/>
          <w:color w:val="000000" w:themeColor="text1"/>
          <w:sz w:val="26"/>
          <w:szCs w:val="26"/>
        </w:rPr>
        <w:t xml:space="preserve">1 lần/ngày.Để điều trị triệu chứng của bệnh trào ngược, bệnh nhân nên được dùng liều </w:t>
      </w:r>
      <w:r w:rsidR="009752AC" w:rsidRPr="00127369">
        <w:rPr>
          <w:rFonts w:ascii="Times New Roman" w:hAnsi="Times New Roman" w:cs="Times New Roman"/>
          <w:bCs/>
          <w:color w:val="000000" w:themeColor="text1"/>
          <w:sz w:val="26"/>
          <w:szCs w:val="26"/>
        </w:rPr>
        <w:t>20 mg, 1 lần/ngày.</w:t>
      </w:r>
    </w:p>
    <w:p w14:paraId="31939963" w14:textId="1F1BA8FE" w:rsidR="009752AC" w:rsidRPr="00127369" w:rsidRDefault="009752AC" w:rsidP="003F766E">
      <w:pPr>
        <w:spacing w:after="0" w:line="240" w:lineRule="auto"/>
        <w:ind w:firstLine="720"/>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 Điều trị loét dạ dày do dùng NSAID, liều thông thường là 20 mg, 1 lần/ngày.</w:t>
      </w:r>
      <w:r w:rsidR="0082365F" w:rsidRPr="00127369">
        <w:rPr>
          <w:rFonts w:ascii="Times New Roman" w:hAnsi="Times New Roman" w:cs="Times New Roman"/>
          <w:bCs/>
          <w:color w:val="000000" w:themeColor="text1"/>
          <w:sz w:val="26"/>
          <w:szCs w:val="26"/>
        </w:rPr>
        <w:t xml:space="preserve"> Để phòng loét dạ dày và thực quản do dùng NSAID ở những bệnh nhân có nguy cơ, liều dùng 20 mg,</w:t>
      </w:r>
      <w:r w:rsidR="00FD4511" w:rsidRPr="00127369">
        <w:rPr>
          <w:rFonts w:ascii="Times New Roman" w:hAnsi="Times New Roman" w:cs="Times New Roman"/>
          <w:bCs/>
          <w:color w:val="000000" w:themeColor="text1"/>
          <w:sz w:val="26"/>
          <w:szCs w:val="26"/>
        </w:rPr>
        <w:t xml:space="preserve"> 1 lần/ngày.</w:t>
      </w:r>
    </w:p>
    <w:p w14:paraId="032ED9FD" w14:textId="2A38CBBA" w:rsidR="00FD4511" w:rsidRPr="00127369" w:rsidRDefault="00FD4511" w:rsidP="003F766E">
      <w:pPr>
        <w:spacing w:after="0" w:line="240" w:lineRule="auto"/>
        <w:ind w:firstLine="720"/>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 xml:space="preserve">+ Thời gian điều trị bằng đường tĩnh mạch thường ngắn </w:t>
      </w:r>
      <w:r w:rsidR="002B3027" w:rsidRPr="00127369">
        <w:rPr>
          <w:rFonts w:ascii="Times New Roman" w:hAnsi="Times New Roman" w:cs="Times New Roman"/>
          <w:bCs/>
          <w:color w:val="000000" w:themeColor="text1"/>
          <w:sz w:val="26"/>
          <w:szCs w:val="26"/>
        </w:rPr>
        <w:t>và nên chuyến sang dùng thuốc bằng đường uống khi có thể được.</w:t>
      </w:r>
    </w:p>
    <w:p w14:paraId="0D071101" w14:textId="327147DD" w:rsidR="004C31DD" w:rsidRPr="00127369" w:rsidRDefault="004C31DD" w:rsidP="004C31DD">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 Phòng ngừa tái xuất h</w:t>
      </w:r>
      <w:r w:rsidR="007759CE" w:rsidRPr="00127369">
        <w:rPr>
          <w:rFonts w:ascii="Times New Roman" w:hAnsi="Times New Roman" w:cs="Times New Roman"/>
          <w:bCs/>
          <w:color w:val="000000" w:themeColor="text1"/>
          <w:sz w:val="26"/>
          <w:szCs w:val="26"/>
        </w:rPr>
        <w:t xml:space="preserve">uyết </w:t>
      </w:r>
      <w:r w:rsidRPr="00127369">
        <w:rPr>
          <w:rFonts w:ascii="Times New Roman" w:hAnsi="Times New Roman" w:cs="Times New Roman"/>
          <w:bCs/>
          <w:color w:val="000000" w:themeColor="text1"/>
          <w:sz w:val="26"/>
          <w:szCs w:val="26"/>
        </w:rPr>
        <w:t xml:space="preserve">do loét dạ dày </w:t>
      </w:r>
      <w:r w:rsidR="007759CE" w:rsidRPr="00127369">
        <w:rPr>
          <w:rFonts w:ascii="Times New Roman" w:hAnsi="Times New Roman" w:cs="Times New Roman"/>
          <w:bCs/>
          <w:color w:val="000000" w:themeColor="text1"/>
          <w:sz w:val="26"/>
          <w:szCs w:val="26"/>
        </w:rPr>
        <w:t xml:space="preserve">và </w:t>
      </w:r>
      <w:r w:rsidRPr="00127369">
        <w:rPr>
          <w:rFonts w:ascii="Times New Roman" w:hAnsi="Times New Roman" w:cs="Times New Roman"/>
          <w:bCs/>
          <w:color w:val="000000" w:themeColor="text1"/>
          <w:sz w:val="26"/>
          <w:szCs w:val="26"/>
        </w:rPr>
        <w:t>tá tràng</w:t>
      </w:r>
      <w:r w:rsidR="007759CE" w:rsidRPr="00127369">
        <w:rPr>
          <w:rFonts w:ascii="Times New Roman" w:hAnsi="Times New Roman" w:cs="Times New Roman"/>
          <w:bCs/>
          <w:color w:val="000000" w:themeColor="text1"/>
          <w:sz w:val="26"/>
          <w:szCs w:val="26"/>
        </w:rPr>
        <w:t xml:space="preserve"> : </w:t>
      </w:r>
    </w:p>
    <w:p w14:paraId="3EDEBEB4" w14:textId="2B44EDBB" w:rsidR="007759CE" w:rsidRPr="00127369" w:rsidRDefault="007759CE" w:rsidP="004C31DD">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ab/>
        <w:t xml:space="preserve">+ Sau khi điều trị bằng nội soi xuất huyết cấp tính do loét </w:t>
      </w:r>
      <w:r w:rsidR="00493BA5" w:rsidRPr="00127369">
        <w:rPr>
          <w:rFonts w:ascii="Times New Roman" w:hAnsi="Times New Roman" w:cs="Times New Roman"/>
          <w:bCs/>
          <w:color w:val="000000" w:themeColor="text1"/>
          <w:sz w:val="26"/>
          <w:szCs w:val="26"/>
        </w:rPr>
        <w:t xml:space="preserve">dạ dày hoặc loét tá tràng, truỳen liều cao 80 mg trong khoảng thời gian 30 phút, tiếp theo truyền tĩnh mạch </w:t>
      </w:r>
      <w:r w:rsidR="00BB4BB2" w:rsidRPr="00127369">
        <w:rPr>
          <w:rFonts w:ascii="Times New Roman" w:hAnsi="Times New Roman" w:cs="Times New Roman"/>
          <w:bCs/>
          <w:color w:val="000000" w:themeColor="text1"/>
          <w:sz w:val="26"/>
          <w:szCs w:val="26"/>
        </w:rPr>
        <w:t>liên tục 8mg/giờ trong 3 ngày (72 giờ).</w:t>
      </w:r>
    </w:p>
    <w:p w14:paraId="0E60D962" w14:textId="7ABAA65B" w:rsidR="00BB4BB2" w:rsidRPr="00127369" w:rsidRDefault="00BB4BB2" w:rsidP="004C31DD">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ab/>
        <w:t xml:space="preserve">+ Sau giai đoạn điều trị bằng đường tĩnh mạch, bệnh nhân nên được </w:t>
      </w:r>
      <w:r w:rsidR="00DF0EAB" w:rsidRPr="00127369">
        <w:rPr>
          <w:rFonts w:ascii="Times New Roman" w:hAnsi="Times New Roman" w:cs="Times New Roman"/>
          <w:bCs/>
          <w:color w:val="000000" w:themeColor="text1"/>
          <w:sz w:val="26"/>
          <w:szCs w:val="26"/>
        </w:rPr>
        <w:t>tiếp tục điều trị kháng acid bằng dạng uống.</w:t>
      </w:r>
    </w:p>
    <w:p w14:paraId="658CDF93" w14:textId="4A7EAD09" w:rsidR="00DF0EAB" w:rsidRPr="00127369" w:rsidRDefault="00DF0EAB" w:rsidP="004C31DD">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lastRenderedPageBreak/>
        <w:tab/>
        <w:t>Trẻ em và vị thành niên từ 1-18 tuổi:</w:t>
      </w:r>
    </w:p>
    <w:p w14:paraId="78C0FD6B" w14:textId="26303FA2" w:rsidR="00CE3546" w:rsidRPr="00127369" w:rsidRDefault="00CE3546" w:rsidP="00CE3546">
      <w:pPr>
        <w:spacing w:after="0" w:line="240" w:lineRule="auto"/>
        <w:ind w:firstLine="720"/>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 Điều trị kháng tiết acid dạ dày khi liệu pháp đường uống không thích hợp.</w:t>
      </w:r>
    </w:p>
    <w:p w14:paraId="2405F54E" w14:textId="4BF00DF6" w:rsidR="00CE3546" w:rsidRPr="00127369" w:rsidRDefault="008E6001" w:rsidP="00CE3546">
      <w:pPr>
        <w:spacing w:after="0" w:line="240" w:lineRule="auto"/>
        <w:ind w:firstLine="720"/>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 Bệnh nhân không dùng được thuốc đường uống có thể được điều trị bằng đường tiêm tĩnh mạch</w:t>
      </w:r>
      <w:r w:rsidR="00C21B4A" w:rsidRPr="00127369">
        <w:rPr>
          <w:rFonts w:ascii="Times New Roman" w:hAnsi="Times New Roman" w:cs="Times New Roman"/>
          <w:bCs/>
          <w:color w:val="000000" w:themeColor="text1"/>
          <w:sz w:val="26"/>
          <w:szCs w:val="26"/>
        </w:rPr>
        <w:t xml:space="preserve"> 1 lần/ngày như là 1 phần của điều trị GERD đầy đủ.</w:t>
      </w:r>
    </w:p>
    <w:p w14:paraId="68282105" w14:textId="09F5FC55" w:rsidR="00424BE8" w:rsidRPr="00127369" w:rsidRDefault="00424BE8" w:rsidP="00424BE8">
      <w:pPr>
        <w:spacing w:after="0" w:line="240" w:lineRule="auto"/>
        <w:ind w:firstLine="720"/>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 Thời gian điều trị bằng đường tĩnh mạch thường ngắn và nên chuyến sang dùng thuốc bằng đường uống khi có thể được.</w:t>
      </w:r>
    </w:p>
    <w:p w14:paraId="3CDDEFEB" w14:textId="727FB553" w:rsidR="00424BE8" w:rsidRPr="00127369" w:rsidRDefault="00424BE8" w:rsidP="00424BE8">
      <w:pPr>
        <w:spacing w:after="0" w:line="240" w:lineRule="auto"/>
        <w:ind w:firstLine="720"/>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 Liều khuyến cáo khi sử dụng Esomeprazol bằng đường tĩnh mạch.</w:t>
      </w:r>
    </w:p>
    <w:tbl>
      <w:tblPr>
        <w:tblStyle w:val="TableGrid"/>
        <w:tblW w:w="0" w:type="auto"/>
        <w:tblLook w:val="04A0" w:firstRow="1" w:lastRow="0" w:firstColumn="1" w:lastColumn="0" w:noHBand="0" w:noVBand="1"/>
      </w:tblPr>
      <w:tblGrid>
        <w:gridCol w:w="3260"/>
        <w:gridCol w:w="3261"/>
        <w:gridCol w:w="3261"/>
      </w:tblGrid>
      <w:tr w:rsidR="00127369" w:rsidRPr="00127369" w14:paraId="145B8EDB" w14:textId="77777777" w:rsidTr="008742D7">
        <w:tc>
          <w:tcPr>
            <w:tcW w:w="3260" w:type="dxa"/>
          </w:tcPr>
          <w:p w14:paraId="7828180E" w14:textId="6D04F8B2" w:rsidR="008742D7" w:rsidRPr="00127369" w:rsidRDefault="008742D7" w:rsidP="00424BE8">
            <w:pPr>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 xml:space="preserve">Nhóm tuổi </w:t>
            </w:r>
          </w:p>
        </w:tc>
        <w:tc>
          <w:tcPr>
            <w:tcW w:w="3261" w:type="dxa"/>
          </w:tcPr>
          <w:p w14:paraId="352FB963" w14:textId="0826A59A" w:rsidR="008742D7" w:rsidRPr="00127369" w:rsidRDefault="008742D7" w:rsidP="00424BE8">
            <w:pPr>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Điều trị viêm thực quản bào mòn do trào ngược</w:t>
            </w:r>
          </w:p>
        </w:tc>
        <w:tc>
          <w:tcPr>
            <w:tcW w:w="3261" w:type="dxa"/>
          </w:tcPr>
          <w:p w14:paraId="02E7DED0" w14:textId="5D5B85AB" w:rsidR="008742D7" w:rsidRPr="00127369" w:rsidRDefault="008742D7" w:rsidP="00424BE8">
            <w:pPr>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 xml:space="preserve">Điều trị triệu chứng </w:t>
            </w:r>
            <w:r w:rsidR="000F56E8" w:rsidRPr="00127369">
              <w:rPr>
                <w:rFonts w:ascii="Times New Roman" w:hAnsi="Times New Roman" w:cs="Times New Roman"/>
                <w:bCs/>
                <w:color w:val="000000" w:themeColor="text1"/>
                <w:sz w:val="26"/>
                <w:szCs w:val="26"/>
              </w:rPr>
              <w:t>của GERD</w:t>
            </w:r>
          </w:p>
        </w:tc>
      </w:tr>
      <w:tr w:rsidR="00127369" w:rsidRPr="00127369" w14:paraId="4A9223A2" w14:textId="77777777" w:rsidTr="008742D7">
        <w:tc>
          <w:tcPr>
            <w:tcW w:w="3260" w:type="dxa"/>
          </w:tcPr>
          <w:p w14:paraId="1784315E" w14:textId="0CB36433" w:rsidR="008742D7" w:rsidRPr="00127369" w:rsidRDefault="000F56E8" w:rsidP="00424BE8">
            <w:pPr>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1-11 tuổi</w:t>
            </w:r>
          </w:p>
        </w:tc>
        <w:tc>
          <w:tcPr>
            <w:tcW w:w="3261" w:type="dxa"/>
          </w:tcPr>
          <w:p w14:paraId="12B4B756" w14:textId="77777777" w:rsidR="008742D7" w:rsidRPr="00127369" w:rsidRDefault="000F56E8" w:rsidP="00424BE8">
            <w:pPr>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Cân nặng: &lt;20 kg :10 mg, 1 lần/ngày.</w:t>
            </w:r>
          </w:p>
          <w:p w14:paraId="4566AA68" w14:textId="48A0EDF1" w:rsidR="000F56E8" w:rsidRPr="00127369" w:rsidRDefault="000F56E8" w:rsidP="00424BE8">
            <w:pPr>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Cân nặng: &gt;</w:t>
            </w:r>
            <w:r w:rsidR="00F41DA0" w:rsidRPr="00127369">
              <w:rPr>
                <w:rFonts w:ascii="Times New Roman" w:hAnsi="Times New Roman" w:cs="Times New Roman"/>
                <w:bCs/>
                <w:color w:val="000000" w:themeColor="text1"/>
                <w:sz w:val="26"/>
                <w:szCs w:val="26"/>
              </w:rPr>
              <w:t>= 20 kg:10 mg hoặc 20 mg, 1 lần/ngày.</w:t>
            </w:r>
          </w:p>
        </w:tc>
        <w:tc>
          <w:tcPr>
            <w:tcW w:w="3261" w:type="dxa"/>
          </w:tcPr>
          <w:p w14:paraId="0EA427A8" w14:textId="5C1EA010" w:rsidR="008742D7" w:rsidRPr="00127369" w:rsidRDefault="00F41DA0" w:rsidP="00424BE8">
            <w:pPr>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10 mg, 1 lần/ngày.</w:t>
            </w:r>
          </w:p>
        </w:tc>
      </w:tr>
      <w:tr w:rsidR="00127369" w:rsidRPr="00127369" w14:paraId="7BBFE6A5" w14:textId="77777777" w:rsidTr="008742D7">
        <w:tc>
          <w:tcPr>
            <w:tcW w:w="3260" w:type="dxa"/>
          </w:tcPr>
          <w:p w14:paraId="636DE241" w14:textId="5D1FC31D" w:rsidR="008742D7" w:rsidRPr="00127369" w:rsidRDefault="00F41DA0" w:rsidP="00424BE8">
            <w:pPr>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12-18 tuổi</w:t>
            </w:r>
          </w:p>
        </w:tc>
        <w:tc>
          <w:tcPr>
            <w:tcW w:w="3261" w:type="dxa"/>
          </w:tcPr>
          <w:p w14:paraId="098DC0BE" w14:textId="3E7B3340" w:rsidR="008742D7" w:rsidRPr="00127369" w:rsidRDefault="00F41DA0" w:rsidP="00424BE8">
            <w:pPr>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40 mg, 1 lần/ngày</w:t>
            </w:r>
          </w:p>
        </w:tc>
        <w:tc>
          <w:tcPr>
            <w:tcW w:w="3261" w:type="dxa"/>
          </w:tcPr>
          <w:p w14:paraId="1E27E66F" w14:textId="039DAB63" w:rsidR="008742D7" w:rsidRPr="00127369" w:rsidRDefault="00F41DA0" w:rsidP="00424BE8">
            <w:pPr>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20 mg, 1 lần/ngày.</w:t>
            </w:r>
          </w:p>
        </w:tc>
      </w:tr>
    </w:tbl>
    <w:p w14:paraId="285C19E7" w14:textId="77777777" w:rsidR="008742D7" w:rsidRPr="00127369" w:rsidRDefault="008742D7" w:rsidP="00424BE8">
      <w:pPr>
        <w:spacing w:after="0" w:line="240" w:lineRule="auto"/>
        <w:ind w:firstLine="720"/>
        <w:jc w:val="both"/>
        <w:rPr>
          <w:rFonts w:ascii="Times New Roman" w:hAnsi="Times New Roman" w:cs="Times New Roman"/>
          <w:bCs/>
          <w:color w:val="000000" w:themeColor="text1"/>
          <w:sz w:val="26"/>
          <w:szCs w:val="26"/>
        </w:rPr>
      </w:pPr>
    </w:p>
    <w:p w14:paraId="5354680A" w14:textId="77777777" w:rsidR="00424BE8" w:rsidRPr="00127369" w:rsidRDefault="00424BE8" w:rsidP="00CE3546">
      <w:pPr>
        <w:spacing w:after="0" w:line="240" w:lineRule="auto"/>
        <w:ind w:firstLine="720"/>
        <w:jc w:val="both"/>
        <w:rPr>
          <w:rFonts w:ascii="Times New Roman" w:hAnsi="Times New Roman" w:cs="Times New Roman"/>
          <w:bCs/>
          <w:color w:val="000000" w:themeColor="text1"/>
          <w:sz w:val="26"/>
          <w:szCs w:val="26"/>
        </w:rPr>
      </w:pPr>
    </w:p>
    <w:p w14:paraId="5FEC5F15" w14:textId="21BB314D" w:rsidR="004C31DD" w:rsidRPr="00127369" w:rsidRDefault="007004E0" w:rsidP="003F766E">
      <w:pPr>
        <w:spacing w:after="0" w:line="240" w:lineRule="auto"/>
        <w:ind w:firstLine="720"/>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 Không cần hiêu chỉnh liều trên bệnh nhân suy thận</w:t>
      </w:r>
      <w:r w:rsidR="000C718D" w:rsidRPr="00127369">
        <w:rPr>
          <w:rFonts w:ascii="Times New Roman" w:hAnsi="Times New Roman" w:cs="Times New Roman"/>
          <w:bCs/>
          <w:color w:val="000000" w:themeColor="text1"/>
          <w:sz w:val="26"/>
          <w:szCs w:val="26"/>
        </w:rPr>
        <w:t xml:space="preserve">, suy gạn nhẹ , vừa </w:t>
      </w:r>
      <w:r w:rsidRPr="00127369">
        <w:rPr>
          <w:rFonts w:ascii="Times New Roman" w:hAnsi="Times New Roman" w:cs="Times New Roman"/>
          <w:bCs/>
          <w:color w:val="000000" w:themeColor="text1"/>
          <w:sz w:val="26"/>
          <w:szCs w:val="26"/>
        </w:rPr>
        <w:t>và bệnh nhân cao tuổi.</w:t>
      </w:r>
    </w:p>
    <w:p w14:paraId="255F1F95" w14:textId="0DD5DA21" w:rsidR="000C718D" w:rsidRPr="00127369" w:rsidRDefault="000C718D" w:rsidP="003F766E">
      <w:pPr>
        <w:spacing w:after="0" w:line="240" w:lineRule="auto"/>
        <w:ind w:firstLine="720"/>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 Bệnh nhân suy gan nặng không nên dùng quá liều tối đa 20 mg</w:t>
      </w:r>
      <w:r w:rsidR="00250782" w:rsidRPr="00127369">
        <w:rPr>
          <w:rFonts w:ascii="Times New Roman" w:hAnsi="Times New Roman" w:cs="Times New Roman"/>
          <w:bCs/>
          <w:color w:val="000000" w:themeColor="text1"/>
          <w:sz w:val="26"/>
          <w:szCs w:val="26"/>
        </w:rPr>
        <w:t xml:space="preserve"> mỗi ngày.</w:t>
      </w:r>
    </w:p>
    <w:p w14:paraId="601DEBFE" w14:textId="5D0F5690" w:rsidR="00286683" w:rsidRPr="00127369" w:rsidRDefault="00286683" w:rsidP="00286683">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
          <w:color w:val="000000" w:themeColor="text1"/>
          <w:sz w:val="26"/>
          <w:szCs w:val="26"/>
        </w:rPr>
        <w:t>Cách dùng</w:t>
      </w:r>
      <w:r w:rsidRPr="00127369">
        <w:rPr>
          <w:rFonts w:ascii="Times New Roman" w:hAnsi="Times New Roman" w:cs="Times New Roman"/>
          <w:bCs/>
          <w:color w:val="000000" w:themeColor="text1"/>
          <w:sz w:val="26"/>
          <w:szCs w:val="26"/>
        </w:rPr>
        <w:t xml:space="preserve"> : </w:t>
      </w:r>
    </w:p>
    <w:p w14:paraId="3078BCDD" w14:textId="5F8C9604" w:rsidR="0095060A" w:rsidRPr="00127369" w:rsidRDefault="0095060A" w:rsidP="00286683">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ab/>
        <w:t>- Tiêm tĩnh mạch : Dung dịch tiêm được pha chế bằng cách hoàn nguyên lọ bột với 5 ml dung dịch Nacl</w:t>
      </w:r>
      <w:r w:rsidR="000119B9" w:rsidRPr="00127369">
        <w:rPr>
          <w:rFonts w:ascii="Times New Roman" w:hAnsi="Times New Roman" w:cs="Times New Roman"/>
          <w:bCs/>
          <w:color w:val="000000" w:themeColor="text1"/>
          <w:sz w:val="26"/>
          <w:szCs w:val="26"/>
        </w:rPr>
        <w:t xml:space="preserve"> 0.9%, tiêm tĩnh mạch chậm ít nhất 3 phút.</w:t>
      </w:r>
    </w:p>
    <w:p w14:paraId="2F6404ED" w14:textId="6CE4A440" w:rsidR="000119B9" w:rsidRPr="00127369" w:rsidRDefault="000119B9" w:rsidP="00286683">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ab/>
        <w:t xml:space="preserve">- Truyền tĩnh mạch: </w:t>
      </w:r>
    </w:p>
    <w:p w14:paraId="1A7E1B92" w14:textId="67F8B47D" w:rsidR="000119B9" w:rsidRPr="00127369" w:rsidRDefault="000119B9" w:rsidP="00286683">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ab/>
        <w:t xml:space="preserve">+Dung dịch truyền tĩnh mạch (liều 40mg) </w:t>
      </w:r>
      <w:r w:rsidR="005B568C" w:rsidRPr="00127369">
        <w:rPr>
          <w:rFonts w:ascii="Times New Roman" w:hAnsi="Times New Roman" w:cs="Times New Roman"/>
          <w:bCs/>
          <w:color w:val="000000" w:themeColor="text1"/>
          <w:sz w:val="26"/>
          <w:szCs w:val="26"/>
        </w:rPr>
        <w:t>trong 10-30 phút : Hoàn nguyên lọ bột với 5 ml dung dịch Nacl 0.9 % hoặc dung dịch Lactated Ringer hoặc dung dịch Dextrose 5%</w:t>
      </w:r>
      <w:r w:rsidR="00E72C77" w:rsidRPr="00127369">
        <w:rPr>
          <w:rFonts w:ascii="Times New Roman" w:hAnsi="Times New Roman" w:cs="Times New Roman"/>
          <w:bCs/>
          <w:color w:val="000000" w:themeColor="text1"/>
          <w:sz w:val="26"/>
          <w:szCs w:val="26"/>
        </w:rPr>
        <w:t>. Sau đó pha loãng tới thể tích 100ml.</w:t>
      </w:r>
    </w:p>
    <w:p w14:paraId="4B310589" w14:textId="46CE8E5C" w:rsidR="00E72C77" w:rsidRPr="00127369" w:rsidRDefault="00E72C77" w:rsidP="00286683">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ab/>
        <w:t xml:space="preserve">+ Dung dịch truyền tĩnh mạch (liều 80 mg) : hoàn nguyên 2 lọ </w:t>
      </w:r>
      <w:r w:rsidR="00A64BA5" w:rsidRPr="00127369">
        <w:rPr>
          <w:rFonts w:ascii="Times New Roman" w:hAnsi="Times New Roman" w:cs="Times New Roman"/>
          <w:bCs/>
          <w:color w:val="000000" w:themeColor="text1"/>
          <w:sz w:val="26"/>
          <w:szCs w:val="26"/>
        </w:rPr>
        <w:t>bột 40 mg , mỗi lọ với 5 ml dung dịch Nacl 0,9 %. Sau đó dung dịch trong 2 lọ được pha loãng thêm trong 100 ml dung dịch</w:t>
      </w:r>
      <w:r w:rsidR="00542B88" w:rsidRPr="00127369">
        <w:rPr>
          <w:rFonts w:ascii="Times New Roman" w:hAnsi="Times New Roman" w:cs="Times New Roman"/>
          <w:bCs/>
          <w:color w:val="000000" w:themeColor="text1"/>
          <w:sz w:val="26"/>
          <w:szCs w:val="26"/>
        </w:rPr>
        <w:t xml:space="preserve"> Nacl</w:t>
      </w:r>
      <w:r w:rsidR="00D03162" w:rsidRPr="00127369">
        <w:rPr>
          <w:rFonts w:ascii="Times New Roman" w:hAnsi="Times New Roman" w:cs="Times New Roman"/>
          <w:bCs/>
          <w:color w:val="000000" w:themeColor="text1"/>
          <w:sz w:val="26"/>
          <w:szCs w:val="26"/>
        </w:rPr>
        <w:t xml:space="preserve"> 0,9 %</w:t>
      </w:r>
    </w:p>
    <w:p w14:paraId="7D382EEB" w14:textId="010DE4B6" w:rsidR="00D03162" w:rsidRPr="00127369" w:rsidRDefault="00D03162" w:rsidP="00286683">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ab/>
        <w:t>+ Chỉ sử dụng dung dịch trong suốt</w:t>
      </w:r>
      <w:r w:rsidR="00035BB9" w:rsidRPr="00127369">
        <w:rPr>
          <w:rFonts w:ascii="Times New Roman" w:hAnsi="Times New Roman" w:cs="Times New Roman"/>
          <w:bCs/>
          <w:color w:val="000000" w:themeColor="text1"/>
          <w:sz w:val="26"/>
          <w:szCs w:val="26"/>
        </w:rPr>
        <w:t>, dung dịch đã pha không nên pha trộn hoặc dùng chung bộ dây truyền với các thuốc khác</w:t>
      </w:r>
      <w:r w:rsidR="00327CFD" w:rsidRPr="00127369">
        <w:rPr>
          <w:rFonts w:ascii="Times New Roman" w:hAnsi="Times New Roman" w:cs="Times New Roman"/>
          <w:bCs/>
          <w:color w:val="000000" w:themeColor="text1"/>
          <w:sz w:val="26"/>
          <w:szCs w:val="26"/>
        </w:rPr>
        <w:t xml:space="preserve">. </w:t>
      </w:r>
    </w:p>
    <w:p w14:paraId="30B18E51" w14:textId="10211EAD" w:rsidR="003F766E" w:rsidRPr="00127369" w:rsidRDefault="00327CFD" w:rsidP="00DD2295">
      <w:pPr>
        <w:spacing w:after="0" w:line="240" w:lineRule="auto"/>
        <w:jc w:val="both"/>
        <w:rPr>
          <w:rFonts w:ascii="Times New Roman" w:hAnsi="Times New Roman" w:cs="Times New Roman"/>
          <w:bCs/>
          <w:color w:val="000000" w:themeColor="text1"/>
          <w:sz w:val="26"/>
          <w:szCs w:val="26"/>
        </w:rPr>
      </w:pPr>
      <w:r w:rsidRPr="00127369">
        <w:rPr>
          <w:rFonts w:ascii="Times New Roman" w:hAnsi="Times New Roman" w:cs="Times New Roman"/>
          <w:bCs/>
          <w:color w:val="000000" w:themeColor="text1"/>
          <w:sz w:val="26"/>
          <w:szCs w:val="26"/>
        </w:rPr>
        <w:tab/>
        <w:t>+ Nên dùng nửa thể tích nếu chỉ cần dùng 20 mg Esomeprazol, nên bỏ phần dung dịch không sử dụng.</w:t>
      </w:r>
    </w:p>
    <w:p w14:paraId="13E6A9E4" w14:textId="77777777" w:rsidR="003B0B88" w:rsidRPr="00127369" w:rsidRDefault="003B0B88" w:rsidP="00F429F1">
      <w:pPr>
        <w:spacing w:after="0" w:line="240" w:lineRule="auto"/>
        <w:jc w:val="both"/>
        <w:rPr>
          <w:rFonts w:ascii="Times New Roman" w:hAnsi="Times New Roman" w:cs="Times New Roman"/>
          <w:b/>
          <w:color w:val="000000" w:themeColor="text1"/>
          <w:sz w:val="26"/>
          <w:szCs w:val="26"/>
        </w:rPr>
      </w:pPr>
      <w:r w:rsidRPr="00127369">
        <w:rPr>
          <w:rFonts w:ascii="Times New Roman" w:hAnsi="Times New Roman" w:cs="Times New Roman"/>
          <w:b/>
          <w:color w:val="000000" w:themeColor="text1"/>
          <w:sz w:val="26"/>
          <w:szCs w:val="26"/>
          <w:u w:val="single"/>
        </w:rPr>
        <w:t>Chống chỉ định</w:t>
      </w:r>
      <w:r w:rsidRPr="00127369">
        <w:rPr>
          <w:rFonts w:ascii="Times New Roman" w:hAnsi="Times New Roman" w:cs="Times New Roman"/>
          <w:b/>
          <w:color w:val="000000" w:themeColor="text1"/>
          <w:sz w:val="26"/>
          <w:szCs w:val="26"/>
        </w:rPr>
        <w:t>:</w:t>
      </w:r>
    </w:p>
    <w:p w14:paraId="0BFF86B1" w14:textId="074EB006" w:rsidR="00C14563" w:rsidRPr="00127369" w:rsidRDefault="00AE1583" w:rsidP="00F429F1">
      <w:pPr>
        <w:spacing w:after="0" w:line="240" w:lineRule="auto"/>
        <w:jc w:val="both"/>
        <w:rPr>
          <w:rFonts w:ascii="Times New Roman" w:hAnsi="Times New Roman" w:cs="Times New Roman"/>
          <w:color w:val="000000" w:themeColor="text1"/>
          <w:sz w:val="26"/>
          <w:szCs w:val="26"/>
          <w:shd w:val="clear" w:color="auto" w:fill="FFFFFF"/>
        </w:rPr>
      </w:pPr>
      <w:r w:rsidRPr="00127369">
        <w:rPr>
          <w:rFonts w:ascii="Times New Roman" w:hAnsi="Times New Roman" w:cs="Times New Roman"/>
          <w:color w:val="000000" w:themeColor="text1"/>
          <w:sz w:val="26"/>
          <w:szCs w:val="26"/>
          <w:shd w:val="clear" w:color="auto" w:fill="FFFFFF"/>
        </w:rPr>
        <w:tab/>
        <w:t xml:space="preserve">- Quá mẫn với Esomeprazol hoặc với các thuốc ức chế bơm </w:t>
      </w:r>
      <w:r w:rsidR="00C23C58" w:rsidRPr="00127369">
        <w:rPr>
          <w:rFonts w:ascii="Times New Roman" w:hAnsi="Times New Roman" w:cs="Times New Roman"/>
          <w:color w:val="000000" w:themeColor="text1"/>
          <w:sz w:val="26"/>
          <w:szCs w:val="26"/>
          <w:shd w:val="clear" w:color="auto" w:fill="FFFFFF"/>
        </w:rPr>
        <w:t>proton khác, hoặc quá mẫn với bất kỳ thành phần nào của thuốc.</w:t>
      </w:r>
    </w:p>
    <w:p w14:paraId="70C3921F" w14:textId="2AC3818E" w:rsidR="00C23C58" w:rsidRPr="00127369" w:rsidRDefault="00C23C58" w:rsidP="00F429F1">
      <w:pPr>
        <w:spacing w:after="0" w:line="240" w:lineRule="auto"/>
        <w:jc w:val="both"/>
        <w:rPr>
          <w:rFonts w:ascii="Times New Roman" w:hAnsi="Times New Roman" w:cs="Times New Roman"/>
          <w:b/>
          <w:color w:val="000000" w:themeColor="text1"/>
          <w:sz w:val="26"/>
          <w:szCs w:val="26"/>
          <w:u w:val="single"/>
        </w:rPr>
      </w:pPr>
      <w:r w:rsidRPr="00127369">
        <w:rPr>
          <w:rFonts w:ascii="Times New Roman" w:hAnsi="Times New Roman" w:cs="Times New Roman"/>
          <w:color w:val="000000" w:themeColor="text1"/>
          <w:sz w:val="26"/>
          <w:szCs w:val="26"/>
          <w:shd w:val="clear" w:color="auto" w:fill="FFFFFF"/>
        </w:rPr>
        <w:tab/>
        <w:t xml:space="preserve">- Esomeprazol không nên sử dụng </w:t>
      </w:r>
      <w:r w:rsidR="007D7EA2" w:rsidRPr="00127369">
        <w:rPr>
          <w:rFonts w:ascii="Times New Roman" w:hAnsi="Times New Roman" w:cs="Times New Roman"/>
          <w:color w:val="000000" w:themeColor="text1"/>
          <w:sz w:val="26"/>
          <w:szCs w:val="26"/>
          <w:shd w:val="clear" w:color="auto" w:fill="FFFFFF"/>
        </w:rPr>
        <w:t>đồng thời với nelfinavir.</w:t>
      </w:r>
    </w:p>
    <w:p w14:paraId="64DEF0EA" w14:textId="294DED7E" w:rsidR="00C854C7" w:rsidRPr="00127369" w:rsidRDefault="003C541E" w:rsidP="00F429F1">
      <w:pPr>
        <w:spacing w:after="0" w:line="240" w:lineRule="auto"/>
        <w:jc w:val="both"/>
        <w:rPr>
          <w:rFonts w:ascii="Times New Roman" w:hAnsi="Times New Roman" w:cs="Times New Roman"/>
          <w:b/>
          <w:color w:val="000000" w:themeColor="text1"/>
          <w:sz w:val="26"/>
          <w:szCs w:val="26"/>
        </w:rPr>
      </w:pPr>
      <w:r w:rsidRPr="00127369">
        <w:rPr>
          <w:rFonts w:ascii="Times New Roman" w:hAnsi="Times New Roman" w:cs="Times New Roman"/>
          <w:b/>
          <w:color w:val="000000" w:themeColor="text1"/>
          <w:sz w:val="26"/>
          <w:szCs w:val="26"/>
          <w:u w:val="single"/>
        </w:rPr>
        <w:t>Cảnh báo và t</w:t>
      </w:r>
      <w:r w:rsidR="00C854C7" w:rsidRPr="00127369">
        <w:rPr>
          <w:rFonts w:ascii="Times New Roman" w:hAnsi="Times New Roman" w:cs="Times New Roman"/>
          <w:b/>
          <w:color w:val="000000" w:themeColor="text1"/>
          <w:sz w:val="26"/>
          <w:szCs w:val="26"/>
          <w:u w:val="single"/>
        </w:rPr>
        <w:t>hận trọng khi dùng</w:t>
      </w:r>
      <w:r w:rsidRPr="00127369">
        <w:rPr>
          <w:rFonts w:ascii="Times New Roman" w:hAnsi="Times New Roman" w:cs="Times New Roman"/>
          <w:b/>
          <w:color w:val="000000" w:themeColor="text1"/>
          <w:sz w:val="26"/>
          <w:szCs w:val="26"/>
          <w:u w:val="single"/>
        </w:rPr>
        <w:t xml:space="preserve"> thuốc</w:t>
      </w:r>
      <w:r w:rsidR="00C854C7" w:rsidRPr="00127369">
        <w:rPr>
          <w:rFonts w:ascii="Times New Roman" w:hAnsi="Times New Roman" w:cs="Times New Roman"/>
          <w:b/>
          <w:color w:val="000000" w:themeColor="text1"/>
          <w:sz w:val="26"/>
          <w:szCs w:val="26"/>
        </w:rPr>
        <w:t>:</w:t>
      </w:r>
    </w:p>
    <w:p w14:paraId="30F4FC87" w14:textId="46648EF5" w:rsidR="001B3F7C" w:rsidRPr="00127369" w:rsidRDefault="001B3F7C" w:rsidP="001B3F7C">
      <w:pPr>
        <w:shd w:val="clear" w:color="auto" w:fill="FFFFFF"/>
        <w:spacing w:after="225" w:line="240" w:lineRule="auto"/>
        <w:ind w:firstLine="660"/>
        <w:rPr>
          <w:rFonts w:ascii="Times New Roman" w:hAnsi="Times New Roman" w:cs="Times New Roman"/>
          <w:color w:val="000000" w:themeColor="text1"/>
          <w:sz w:val="26"/>
          <w:szCs w:val="26"/>
        </w:rPr>
      </w:pPr>
      <w:r w:rsidRPr="00127369">
        <w:rPr>
          <w:rFonts w:ascii="Times New Roman" w:hAnsi="Times New Roman" w:cs="Times New Roman"/>
          <w:color w:val="000000" w:themeColor="text1"/>
          <w:sz w:val="26"/>
          <w:szCs w:val="26"/>
        </w:rPr>
        <w:t>- Bệnh nhân có triệu chứng như sụt cân không rõ nguyên nhân, nôn ói tái phát, nuốt khó, nôn máu hoặc phân đen... và khi đã xác định hoặc nghi ngờ loét dạ dày nên được chẩn đoán loại trừ bệnh lý ác tính vì việc điều trị với thuốc Esogas có thể các triệu chứng ung thư lu mờ và dẫn đến chẩn đoán chậm trễ.</w:t>
      </w:r>
    </w:p>
    <w:p w14:paraId="4188A0CF" w14:textId="1CD049C1" w:rsidR="001B3F7C" w:rsidRPr="00127369" w:rsidRDefault="001B3F7C" w:rsidP="001B3F7C">
      <w:pPr>
        <w:shd w:val="clear" w:color="auto" w:fill="FFFFFF"/>
        <w:spacing w:after="225" w:line="240" w:lineRule="auto"/>
        <w:ind w:firstLine="660"/>
        <w:rPr>
          <w:rFonts w:ascii="Times New Roman" w:hAnsi="Times New Roman" w:cs="Times New Roman"/>
          <w:color w:val="000000" w:themeColor="text1"/>
          <w:sz w:val="26"/>
          <w:szCs w:val="26"/>
        </w:rPr>
      </w:pPr>
      <w:r w:rsidRPr="00127369">
        <w:rPr>
          <w:rFonts w:ascii="Times New Roman" w:hAnsi="Times New Roman" w:cs="Times New Roman"/>
          <w:color w:val="000000" w:themeColor="text1"/>
          <w:sz w:val="26"/>
          <w:szCs w:val="26"/>
        </w:rPr>
        <w:t>- Nhiễm khuẩn đường tiêu hoá: Điều trị bằng các thuốc ức chế bơm proton như thuốc Esogas có thể làm tăng nguy cơ nhiễm trùng đường tiêu hóa do Salmonella và Campylobacter.</w:t>
      </w:r>
    </w:p>
    <w:p w14:paraId="318DEFE7" w14:textId="527BA806" w:rsidR="001B3F7C" w:rsidRPr="00127369" w:rsidRDefault="00486524" w:rsidP="00486524">
      <w:pPr>
        <w:shd w:val="clear" w:color="auto" w:fill="FFFFFF"/>
        <w:spacing w:after="225" w:line="240" w:lineRule="auto"/>
        <w:ind w:firstLine="660"/>
        <w:rPr>
          <w:rFonts w:ascii="Times New Roman" w:hAnsi="Times New Roman" w:cs="Times New Roman"/>
          <w:color w:val="000000" w:themeColor="text1"/>
          <w:sz w:val="26"/>
          <w:szCs w:val="26"/>
        </w:rPr>
      </w:pPr>
      <w:r w:rsidRPr="00127369">
        <w:rPr>
          <w:rFonts w:ascii="Times New Roman" w:hAnsi="Times New Roman" w:cs="Times New Roman"/>
          <w:color w:val="000000" w:themeColor="text1"/>
          <w:sz w:val="26"/>
          <w:szCs w:val="26"/>
        </w:rPr>
        <w:lastRenderedPageBreak/>
        <w:t xml:space="preserve">- </w:t>
      </w:r>
      <w:r w:rsidR="001B3F7C" w:rsidRPr="00127369">
        <w:rPr>
          <w:rFonts w:ascii="Times New Roman" w:hAnsi="Times New Roman" w:cs="Times New Roman"/>
          <w:color w:val="000000" w:themeColor="text1"/>
          <w:sz w:val="26"/>
          <w:szCs w:val="26"/>
        </w:rPr>
        <w:t>Hấp thu </w:t>
      </w:r>
      <w:hyperlink r:id="rId7" w:history="1">
        <w:r w:rsidR="001B3F7C" w:rsidRPr="00127369">
          <w:rPr>
            <w:rStyle w:val="Hyperlink"/>
            <w:rFonts w:ascii="Times New Roman" w:hAnsi="Times New Roman" w:cs="Times New Roman"/>
            <w:color w:val="000000" w:themeColor="text1"/>
            <w:sz w:val="26"/>
            <w:szCs w:val="26"/>
            <w:u w:val="none"/>
          </w:rPr>
          <w:t>vitamin B12</w:t>
        </w:r>
      </w:hyperlink>
      <w:r w:rsidR="001B3F7C" w:rsidRPr="00127369">
        <w:rPr>
          <w:rFonts w:ascii="Times New Roman" w:hAnsi="Times New Roman" w:cs="Times New Roman"/>
          <w:color w:val="000000" w:themeColor="text1"/>
          <w:sz w:val="26"/>
          <w:szCs w:val="26"/>
        </w:rPr>
        <w:t>: thuốc Esogas có thể làm giảm hấp thu vitamin B12 do làm giảm nồng độ acid tại dạ dày. Việc này nên thận trọng ở bệnh nhân giảm dự trữ hoặc có nguy cơ giảm hấp thu vitamin B12 khi điều trị bằng Esogas dài hạn.</w:t>
      </w:r>
    </w:p>
    <w:p w14:paraId="2D394E6E" w14:textId="61E45FE1" w:rsidR="001B3F7C" w:rsidRPr="00127369" w:rsidRDefault="00486524" w:rsidP="00486524">
      <w:pPr>
        <w:shd w:val="clear" w:color="auto" w:fill="FFFFFF"/>
        <w:spacing w:after="225" w:line="240" w:lineRule="auto"/>
        <w:ind w:firstLine="660"/>
        <w:rPr>
          <w:rFonts w:ascii="Times New Roman" w:hAnsi="Times New Roman" w:cs="Times New Roman"/>
          <w:color w:val="000000" w:themeColor="text1"/>
          <w:sz w:val="26"/>
          <w:szCs w:val="26"/>
        </w:rPr>
      </w:pPr>
      <w:r w:rsidRPr="00127369">
        <w:rPr>
          <w:rFonts w:ascii="Times New Roman" w:hAnsi="Times New Roman" w:cs="Times New Roman"/>
          <w:color w:val="000000" w:themeColor="text1"/>
          <w:sz w:val="26"/>
          <w:szCs w:val="26"/>
        </w:rPr>
        <w:t xml:space="preserve">- </w:t>
      </w:r>
      <w:r w:rsidR="001B3F7C" w:rsidRPr="00127369">
        <w:rPr>
          <w:rFonts w:ascii="Times New Roman" w:hAnsi="Times New Roman" w:cs="Times New Roman"/>
          <w:color w:val="000000" w:themeColor="text1"/>
          <w:sz w:val="26"/>
          <w:szCs w:val="26"/>
        </w:rPr>
        <w:t>Nguy cơ gãy xương: Khi dùng các thuốc ức chế bơm proton, bao gồm thuốc Esogas, đặc biệt khi điều trị liều cao và kéo dài (trên 1 năm), có thể làm tăng nguy cơ gãy xương chậu, xương cổ tay hoặc cột sống do loãng xương. Do đó khuyến cáo dùng thuốc Esogas ở liều thấp nhất có hiệu quả trong thời gian ngắn nhất có thể, đồng thời ở bệnh nhân có nguy cơ gãy xương do loãng xương nên bổ sung đủ calci và vitamin D, đánh giá tình trạng xương và quản lý theo hướng dẫn.</w:t>
      </w:r>
    </w:p>
    <w:p w14:paraId="2D9CCA80" w14:textId="709B28CA" w:rsidR="007D7EA2" w:rsidRPr="00127369" w:rsidRDefault="00486524" w:rsidP="00DD2295">
      <w:pPr>
        <w:shd w:val="clear" w:color="auto" w:fill="FFFFFF"/>
        <w:spacing w:after="225" w:line="240" w:lineRule="auto"/>
        <w:ind w:firstLine="660"/>
        <w:rPr>
          <w:rFonts w:ascii="Times New Roman" w:hAnsi="Times New Roman" w:cs="Times New Roman"/>
          <w:b/>
          <w:color w:val="000000" w:themeColor="text1"/>
          <w:sz w:val="26"/>
          <w:szCs w:val="26"/>
        </w:rPr>
      </w:pPr>
      <w:r w:rsidRPr="00127369">
        <w:rPr>
          <w:rFonts w:ascii="Times New Roman" w:hAnsi="Times New Roman" w:cs="Times New Roman"/>
          <w:color w:val="000000" w:themeColor="text1"/>
          <w:sz w:val="26"/>
          <w:szCs w:val="26"/>
        </w:rPr>
        <w:t xml:space="preserve">- </w:t>
      </w:r>
      <w:r w:rsidR="001B3F7C" w:rsidRPr="00127369">
        <w:rPr>
          <w:rFonts w:ascii="Times New Roman" w:hAnsi="Times New Roman" w:cs="Times New Roman"/>
          <w:color w:val="000000" w:themeColor="text1"/>
          <w:sz w:val="26"/>
          <w:szCs w:val="26"/>
        </w:rPr>
        <w:t xml:space="preserve">Điều trị bằng thuốc Esogas kéo dài có thể gây viêm teo dạ dày hoặc tăng nguy cơ nhiễm khuẩn (trong đó có viêm phổi cộng </w:t>
      </w:r>
      <w:r w:rsidRPr="00127369">
        <w:rPr>
          <w:rFonts w:ascii="Times New Roman" w:hAnsi="Times New Roman" w:cs="Times New Roman"/>
          <w:color w:val="000000" w:themeColor="text1"/>
          <w:sz w:val="26"/>
          <w:szCs w:val="26"/>
        </w:rPr>
        <w:t xml:space="preserve">đồng). </w:t>
      </w:r>
    </w:p>
    <w:p w14:paraId="56973C54" w14:textId="77777777" w:rsidR="00EB072B" w:rsidRPr="00127369" w:rsidRDefault="00EB072B" w:rsidP="00F429F1">
      <w:pPr>
        <w:spacing w:after="0" w:line="240" w:lineRule="auto"/>
        <w:jc w:val="both"/>
        <w:rPr>
          <w:rFonts w:ascii="Times New Roman" w:hAnsi="Times New Roman" w:cs="Times New Roman"/>
          <w:b/>
          <w:color w:val="000000" w:themeColor="text1"/>
          <w:sz w:val="26"/>
          <w:szCs w:val="26"/>
          <w:u w:val="single"/>
        </w:rPr>
      </w:pPr>
      <w:r w:rsidRPr="00127369">
        <w:rPr>
          <w:rFonts w:ascii="Times New Roman" w:hAnsi="Times New Roman" w:cs="Times New Roman"/>
          <w:b/>
          <w:color w:val="000000" w:themeColor="text1"/>
          <w:sz w:val="26"/>
          <w:szCs w:val="26"/>
          <w:u w:val="single"/>
        </w:rPr>
        <w:t>Sử dụng cho phụ nữ có thai và cho con bú:</w:t>
      </w:r>
    </w:p>
    <w:p w14:paraId="7850A2C1" w14:textId="7199255D" w:rsidR="00DC2250" w:rsidRPr="00127369" w:rsidRDefault="00BF5239" w:rsidP="00BF5239">
      <w:pPr>
        <w:shd w:val="clear" w:color="auto" w:fill="FFFFFF"/>
        <w:spacing w:after="300" w:line="240" w:lineRule="auto"/>
        <w:textAlignment w:val="baseline"/>
        <w:rPr>
          <w:rFonts w:ascii="Times New Roman" w:eastAsia="Times New Roman" w:hAnsi="Times New Roman" w:cs="Times New Roman"/>
          <w:color w:val="000000" w:themeColor="text1"/>
          <w:sz w:val="26"/>
          <w:szCs w:val="26"/>
        </w:rPr>
      </w:pPr>
      <w:r w:rsidRPr="00127369">
        <w:rPr>
          <w:rFonts w:ascii="Times New Roman" w:eastAsia="Times New Roman" w:hAnsi="Times New Roman" w:cs="Times New Roman"/>
          <w:color w:val="000000" w:themeColor="text1"/>
          <w:sz w:val="26"/>
          <w:szCs w:val="26"/>
        </w:rPr>
        <w:tab/>
        <w:t xml:space="preserve">- Thời kỳ mang thai: </w:t>
      </w:r>
      <w:r w:rsidR="00F17290" w:rsidRPr="00127369">
        <w:rPr>
          <w:rFonts w:ascii="Times New Roman" w:eastAsia="Times New Roman" w:hAnsi="Times New Roman" w:cs="Times New Roman"/>
          <w:color w:val="000000" w:themeColor="text1"/>
          <w:sz w:val="26"/>
          <w:szCs w:val="26"/>
        </w:rPr>
        <w:t>Chỉ sử dụng Esomeprazol trong thời kỳ mang thai khi thật cần thiết.</w:t>
      </w:r>
    </w:p>
    <w:p w14:paraId="1B3B4771" w14:textId="0A025984" w:rsidR="00CC3A1C" w:rsidRPr="00127369" w:rsidRDefault="00CC3A1C" w:rsidP="00BF5239">
      <w:pPr>
        <w:shd w:val="clear" w:color="auto" w:fill="FFFFFF"/>
        <w:spacing w:after="300" w:line="240" w:lineRule="auto"/>
        <w:textAlignment w:val="baseline"/>
        <w:rPr>
          <w:rFonts w:ascii="Times New Roman" w:eastAsia="Times New Roman" w:hAnsi="Times New Roman" w:cs="Times New Roman"/>
          <w:color w:val="000000" w:themeColor="text1"/>
          <w:sz w:val="26"/>
          <w:szCs w:val="26"/>
        </w:rPr>
      </w:pPr>
      <w:r w:rsidRPr="00127369">
        <w:rPr>
          <w:rFonts w:ascii="Times New Roman" w:eastAsia="Times New Roman" w:hAnsi="Times New Roman" w:cs="Times New Roman"/>
          <w:color w:val="000000" w:themeColor="text1"/>
          <w:sz w:val="26"/>
          <w:szCs w:val="26"/>
        </w:rPr>
        <w:tab/>
        <w:t xml:space="preserve">- Thời kỳ cho con bú : Chưa biết </w:t>
      </w:r>
      <w:r w:rsidR="00134CAF" w:rsidRPr="00127369">
        <w:rPr>
          <w:rFonts w:ascii="Times New Roman" w:eastAsia="Times New Roman" w:hAnsi="Times New Roman" w:cs="Times New Roman"/>
          <w:color w:val="000000" w:themeColor="text1"/>
          <w:sz w:val="26"/>
          <w:szCs w:val="26"/>
        </w:rPr>
        <w:t>esomeprazol có bài tiết vào sữa mẹ hay không, tuy nhiên omeprazol được phân phối vào trong sữa của người</w:t>
      </w:r>
      <w:r w:rsidR="009005C4" w:rsidRPr="00127369">
        <w:rPr>
          <w:rFonts w:ascii="Times New Roman" w:eastAsia="Times New Roman" w:hAnsi="Times New Roman" w:cs="Times New Roman"/>
          <w:color w:val="000000" w:themeColor="text1"/>
          <w:sz w:val="26"/>
          <w:szCs w:val="26"/>
        </w:rPr>
        <w:t>. Esomeprazol có khả năng gây ra các ADR ở trẻ bú mẹ, vì vậy nên ngừng cho con bú hoặc ngừng dùng thuốc</w:t>
      </w:r>
      <w:r w:rsidR="009813D0" w:rsidRPr="00127369">
        <w:rPr>
          <w:rFonts w:ascii="Times New Roman" w:eastAsia="Times New Roman" w:hAnsi="Times New Roman" w:cs="Times New Roman"/>
          <w:color w:val="000000" w:themeColor="text1"/>
          <w:sz w:val="26"/>
          <w:szCs w:val="26"/>
        </w:rPr>
        <w:t>, tuỳ vào tầm quan trọng của việc dùng thuốc đối với người mẹ.</w:t>
      </w:r>
    </w:p>
    <w:p w14:paraId="1452E7B2" w14:textId="32B2DEDF" w:rsidR="00C854C7" w:rsidRPr="00127369" w:rsidRDefault="00C854C7" w:rsidP="00F429F1">
      <w:pPr>
        <w:spacing w:after="0" w:line="240" w:lineRule="auto"/>
        <w:jc w:val="both"/>
        <w:rPr>
          <w:rFonts w:ascii="Times New Roman" w:hAnsi="Times New Roman" w:cs="Times New Roman"/>
          <w:color w:val="000000" w:themeColor="text1"/>
          <w:sz w:val="26"/>
          <w:szCs w:val="26"/>
        </w:rPr>
      </w:pPr>
      <w:r w:rsidRPr="00127369">
        <w:rPr>
          <w:rFonts w:ascii="Times New Roman" w:hAnsi="Times New Roman" w:cs="Times New Roman"/>
          <w:b/>
          <w:color w:val="000000" w:themeColor="text1"/>
          <w:sz w:val="26"/>
          <w:szCs w:val="26"/>
          <w:u w:val="single"/>
        </w:rPr>
        <w:t>Tác dụng không mong muốn</w:t>
      </w:r>
    </w:p>
    <w:p w14:paraId="131CDC9E" w14:textId="55651A78" w:rsidR="00702F9F" w:rsidRPr="00127369" w:rsidRDefault="00702F9F" w:rsidP="00F429F1">
      <w:pPr>
        <w:spacing w:after="0" w:line="240" w:lineRule="auto"/>
        <w:jc w:val="both"/>
        <w:rPr>
          <w:rFonts w:ascii="Times New Roman" w:hAnsi="Times New Roman" w:cs="Times New Roman"/>
          <w:color w:val="000000" w:themeColor="text1"/>
          <w:sz w:val="26"/>
          <w:szCs w:val="26"/>
        </w:rPr>
      </w:pPr>
      <w:r w:rsidRPr="00127369">
        <w:rPr>
          <w:rFonts w:ascii="Times New Roman" w:hAnsi="Times New Roman" w:cs="Times New Roman"/>
          <w:color w:val="000000" w:themeColor="text1"/>
          <w:sz w:val="26"/>
          <w:szCs w:val="26"/>
        </w:rPr>
        <w:tab/>
        <w:t xml:space="preserve">- </w:t>
      </w:r>
      <w:r w:rsidR="00F817E5" w:rsidRPr="00127369">
        <w:rPr>
          <w:rFonts w:ascii="Times New Roman" w:hAnsi="Times New Roman" w:cs="Times New Roman"/>
          <w:color w:val="000000" w:themeColor="text1"/>
          <w:sz w:val="26"/>
          <w:szCs w:val="26"/>
        </w:rPr>
        <w:t>Thường gặp : Nhức đầu, đau bụng, tiêu chảy và buồn nôn</w:t>
      </w:r>
      <w:r w:rsidR="00303D30" w:rsidRPr="00127369">
        <w:rPr>
          <w:rFonts w:ascii="Times New Roman" w:hAnsi="Times New Roman" w:cs="Times New Roman"/>
          <w:color w:val="000000" w:themeColor="text1"/>
          <w:sz w:val="26"/>
          <w:szCs w:val="26"/>
        </w:rPr>
        <w:t>.</w:t>
      </w:r>
    </w:p>
    <w:p w14:paraId="22B54D47" w14:textId="29853AA9" w:rsidR="00303D30" w:rsidRPr="00127369" w:rsidRDefault="00303D30" w:rsidP="00F429F1">
      <w:pPr>
        <w:spacing w:after="0" w:line="240" w:lineRule="auto"/>
        <w:jc w:val="both"/>
        <w:rPr>
          <w:rFonts w:ascii="Times New Roman" w:hAnsi="Times New Roman" w:cs="Times New Roman"/>
          <w:color w:val="000000" w:themeColor="text1"/>
          <w:sz w:val="26"/>
          <w:szCs w:val="26"/>
        </w:rPr>
      </w:pPr>
      <w:r w:rsidRPr="00127369">
        <w:rPr>
          <w:rFonts w:ascii="Times New Roman" w:hAnsi="Times New Roman" w:cs="Times New Roman"/>
          <w:color w:val="000000" w:themeColor="text1"/>
          <w:sz w:val="26"/>
          <w:szCs w:val="26"/>
        </w:rPr>
        <w:tab/>
        <w:t xml:space="preserve">- Ít gặp : Choáng váng, </w:t>
      </w:r>
      <w:r w:rsidR="00B83B33" w:rsidRPr="00127369">
        <w:rPr>
          <w:rFonts w:ascii="Times New Roman" w:hAnsi="Times New Roman" w:cs="Times New Roman"/>
          <w:color w:val="000000" w:themeColor="text1"/>
          <w:sz w:val="26"/>
          <w:szCs w:val="26"/>
        </w:rPr>
        <w:t>dị cảm, ngủ gà. Nhìn mờ, chóng mặt, khô miệng, phù ngoại biên, mất ngủ</w:t>
      </w:r>
      <w:r w:rsidR="00D87C6A" w:rsidRPr="00127369">
        <w:rPr>
          <w:rFonts w:ascii="Times New Roman" w:hAnsi="Times New Roman" w:cs="Times New Roman"/>
          <w:color w:val="000000" w:themeColor="text1"/>
          <w:sz w:val="26"/>
          <w:szCs w:val="26"/>
        </w:rPr>
        <w:t>, tăng enzym gan. Viêm da, ngứa, nổi mẩn, mề đay.</w:t>
      </w:r>
    </w:p>
    <w:p w14:paraId="772829A7" w14:textId="18C79777" w:rsidR="00D87C6A" w:rsidRPr="00127369" w:rsidRDefault="00D87C6A" w:rsidP="00F429F1">
      <w:pPr>
        <w:spacing w:after="0" w:line="240" w:lineRule="auto"/>
        <w:jc w:val="both"/>
        <w:rPr>
          <w:rFonts w:ascii="Times New Roman" w:hAnsi="Times New Roman" w:cs="Times New Roman"/>
          <w:color w:val="000000" w:themeColor="text1"/>
          <w:sz w:val="26"/>
          <w:szCs w:val="26"/>
        </w:rPr>
      </w:pPr>
      <w:r w:rsidRPr="00127369">
        <w:rPr>
          <w:rFonts w:ascii="Times New Roman" w:hAnsi="Times New Roman" w:cs="Times New Roman"/>
          <w:color w:val="000000" w:themeColor="text1"/>
          <w:sz w:val="26"/>
          <w:szCs w:val="26"/>
        </w:rPr>
        <w:tab/>
        <w:t>- Hiếm gặp : Giảm bạch cầu, giảm tiểu cầu</w:t>
      </w:r>
      <w:r w:rsidR="00D700A5" w:rsidRPr="00127369">
        <w:rPr>
          <w:rFonts w:ascii="Times New Roman" w:hAnsi="Times New Roman" w:cs="Times New Roman"/>
          <w:color w:val="000000" w:themeColor="text1"/>
          <w:sz w:val="26"/>
          <w:szCs w:val="26"/>
        </w:rPr>
        <w:t>, giảm natri máu, co thắt phế quản, viêm miệng, nhiễm candida đường tiêu hoá</w:t>
      </w:r>
      <w:r w:rsidR="006A3121" w:rsidRPr="00127369">
        <w:rPr>
          <w:rFonts w:ascii="Times New Roman" w:hAnsi="Times New Roman" w:cs="Times New Roman"/>
          <w:color w:val="000000" w:themeColor="text1"/>
          <w:sz w:val="26"/>
          <w:szCs w:val="26"/>
        </w:rPr>
        <w:t>, viêm gan có hoặc không vàng da, đau khớp, đau cơ.</w:t>
      </w:r>
    </w:p>
    <w:p w14:paraId="25651F5C" w14:textId="143FCEBB" w:rsidR="00EB072B" w:rsidRPr="00127369" w:rsidRDefault="00ED77F3" w:rsidP="00F429F1">
      <w:pPr>
        <w:spacing w:after="0" w:line="240" w:lineRule="auto"/>
        <w:jc w:val="both"/>
        <w:rPr>
          <w:rFonts w:ascii="Times New Roman" w:hAnsi="Times New Roman" w:cs="Times New Roman"/>
          <w:b/>
          <w:color w:val="000000" w:themeColor="text1"/>
          <w:sz w:val="26"/>
          <w:szCs w:val="26"/>
          <w:u w:val="single"/>
          <w:shd w:val="clear" w:color="auto" w:fill="FFFFFF"/>
        </w:rPr>
      </w:pPr>
      <w:r w:rsidRPr="00127369">
        <w:rPr>
          <w:rFonts w:ascii="Times New Roman" w:hAnsi="Times New Roman" w:cs="Times New Roman"/>
          <w:b/>
          <w:color w:val="000000" w:themeColor="text1"/>
          <w:sz w:val="26"/>
          <w:szCs w:val="26"/>
          <w:u w:val="single"/>
          <w:shd w:val="clear" w:color="auto" w:fill="FFFFFF"/>
        </w:rPr>
        <w:t>Tương tác, tương kỵ của thuốc:</w:t>
      </w:r>
    </w:p>
    <w:p w14:paraId="127C155E" w14:textId="050D4EE7" w:rsidR="00502FBD" w:rsidRPr="00127369" w:rsidRDefault="00502FBD" w:rsidP="00502FBD">
      <w:pPr>
        <w:pStyle w:val="NormalWeb"/>
        <w:shd w:val="clear" w:color="auto" w:fill="FFFFFF"/>
        <w:spacing w:before="0" w:beforeAutospacing="0" w:after="225" w:afterAutospacing="0"/>
        <w:ind w:firstLine="720"/>
        <w:rPr>
          <w:color w:val="000000" w:themeColor="text1"/>
          <w:sz w:val="26"/>
          <w:szCs w:val="26"/>
        </w:rPr>
      </w:pPr>
      <w:r w:rsidRPr="00127369">
        <w:rPr>
          <w:color w:val="000000" w:themeColor="text1"/>
          <w:sz w:val="26"/>
          <w:szCs w:val="26"/>
        </w:rPr>
        <w:t>- Không khuyến cáo sử dụng kết hợp thuốc Esogas với Atazanavir. Trường hợp bắt buộc phối hợp cần theo dõi chặt chẽ lâm sàng khi tăng liều Atazanavir lên 400mg kết hợp Ritonavir 100mg và Esomeprazole không dùng quá 20mg/ngày.</w:t>
      </w:r>
    </w:p>
    <w:p w14:paraId="3D4C70B2" w14:textId="1AD1B7FC" w:rsidR="00502FBD" w:rsidRPr="00127369" w:rsidRDefault="00502FBD" w:rsidP="00502FBD">
      <w:pPr>
        <w:pStyle w:val="NormalWeb"/>
        <w:shd w:val="clear" w:color="auto" w:fill="FFFFFF"/>
        <w:spacing w:before="0" w:beforeAutospacing="0" w:after="225" w:afterAutospacing="0"/>
        <w:ind w:firstLine="720"/>
        <w:rPr>
          <w:color w:val="000000" w:themeColor="text1"/>
          <w:sz w:val="26"/>
          <w:szCs w:val="26"/>
        </w:rPr>
      </w:pPr>
      <w:r w:rsidRPr="00127369">
        <w:rPr>
          <w:color w:val="000000" w:themeColor="text1"/>
          <w:sz w:val="26"/>
          <w:szCs w:val="26"/>
        </w:rPr>
        <w:t>- Esomeprazole là một chất ức chế CYP2C19</w:t>
      </w:r>
      <w:r w:rsidR="00AF1ED7" w:rsidRPr="00127369">
        <w:rPr>
          <w:color w:val="000000" w:themeColor="text1"/>
          <w:sz w:val="26"/>
          <w:szCs w:val="26"/>
        </w:rPr>
        <w:t xml:space="preserve">, enzym </w:t>
      </w:r>
      <w:r w:rsidR="00674FCF" w:rsidRPr="00127369">
        <w:rPr>
          <w:color w:val="000000" w:themeColor="text1"/>
          <w:sz w:val="26"/>
          <w:szCs w:val="26"/>
        </w:rPr>
        <w:t xml:space="preserve">chính chuyển hoá esomeprazol </w:t>
      </w:r>
      <w:r w:rsidR="00087D34" w:rsidRPr="00127369">
        <w:rPr>
          <w:color w:val="000000" w:themeColor="text1"/>
          <w:sz w:val="26"/>
          <w:szCs w:val="26"/>
        </w:rPr>
        <w:t xml:space="preserve">. Do đó, khi esomeprazol được kết hợp với các thuốc chuyển hoá bởi </w:t>
      </w:r>
      <w:r w:rsidR="00B863F9" w:rsidRPr="00127369">
        <w:rPr>
          <w:color w:val="000000" w:themeColor="text1"/>
          <w:sz w:val="26"/>
          <w:szCs w:val="26"/>
        </w:rPr>
        <w:t xml:space="preserve">CYP2C19 , như Diazepam, citalopram, imipramin, clomipramin, </w:t>
      </w:r>
      <w:r w:rsidR="0088389C" w:rsidRPr="00127369">
        <w:rPr>
          <w:color w:val="000000" w:themeColor="text1"/>
          <w:sz w:val="26"/>
          <w:szCs w:val="26"/>
        </w:rPr>
        <w:t>phenytoin, ….nồng độ</w:t>
      </w:r>
      <w:r w:rsidR="00F07BE0" w:rsidRPr="00127369">
        <w:rPr>
          <w:color w:val="000000" w:themeColor="text1"/>
          <w:sz w:val="26"/>
          <w:szCs w:val="26"/>
        </w:rPr>
        <w:t xml:space="preserve"> trong</w:t>
      </w:r>
      <w:r w:rsidR="0088389C" w:rsidRPr="00127369">
        <w:rPr>
          <w:color w:val="000000" w:themeColor="text1"/>
          <w:sz w:val="26"/>
          <w:szCs w:val="26"/>
        </w:rPr>
        <w:t xml:space="preserve"> huyết tương của các thuốc </w:t>
      </w:r>
      <w:r w:rsidR="00F07BE0" w:rsidRPr="00127369">
        <w:rPr>
          <w:color w:val="000000" w:themeColor="text1"/>
          <w:sz w:val="26"/>
          <w:szCs w:val="26"/>
        </w:rPr>
        <w:t>này có thể tăng lên và cần giảm liều.</w:t>
      </w:r>
    </w:p>
    <w:p w14:paraId="6EEA8E95" w14:textId="61A294DC" w:rsidR="008A45BD" w:rsidRPr="00127369" w:rsidRDefault="00502FBD" w:rsidP="00DD2295">
      <w:pPr>
        <w:pStyle w:val="NormalWeb"/>
        <w:shd w:val="clear" w:color="auto" w:fill="FFFFFF"/>
        <w:spacing w:before="0" w:beforeAutospacing="0" w:after="225" w:afterAutospacing="0"/>
        <w:ind w:firstLine="720"/>
        <w:rPr>
          <w:bCs/>
          <w:color w:val="000000" w:themeColor="text1"/>
          <w:sz w:val="26"/>
          <w:szCs w:val="26"/>
          <w:shd w:val="clear" w:color="auto" w:fill="FFFFFF"/>
        </w:rPr>
      </w:pPr>
      <w:r w:rsidRPr="00127369">
        <w:rPr>
          <w:color w:val="000000" w:themeColor="text1"/>
          <w:sz w:val="26"/>
          <w:szCs w:val="26"/>
        </w:rPr>
        <w:t>-</w:t>
      </w:r>
      <w:r w:rsidR="00680C8E" w:rsidRPr="00127369">
        <w:rPr>
          <w:color w:val="000000" w:themeColor="text1"/>
          <w:sz w:val="26"/>
          <w:szCs w:val="26"/>
        </w:rPr>
        <w:t xml:space="preserve"> Methotrexat</w:t>
      </w:r>
      <w:r w:rsidR="009E7ACA" w:rsidRPr="00127369">
        <w:rPr>
          <w:color w:val="000000" w:themeColor="text1"/>
          <w:sz w:val="26"/>
          <w:szCs w:val="26"/>
        </w:rPr>
        <w:t xml:space="preserve"> : Khi dùng cùng với các PPI, tăng nồng độ methotrexa</w:t>
      </w:r>
      <w:r w:rsidR="00FD5539" w:rsidRPr="00127369">
        <w:rPr>
          <w:color w:val="000000" w:themeColor="text1"/>
          <w:sz w:val="26"/>
          <w:szCs w:val="26"/>
        </w:rPr>
        <w:t xml:space="preserve">t đã được báo cáo ở một số bệnh nhân. Trong điều trị methotrexat liều cao </w:t>
      </w:r>
      <w:r w:rsidR="007309D7" w:rsidRPr="00127369">
        <w:rPr>
          <w:color w:val="000000" w:themeColor="text1"/>
          <w:sz w:val="26"/>
          <w:szCs w:val="26"/>
        </w:rPr>
        <w:t>có thể cần phải xem xét ngưng sủ dụng tạm thời esomeprazol.</w:t>
      </w:r>
    </w:p>
    <w:p w14:paraId="43B4812C" w14:textId="78F4CAFF" w:rsidR="00C14563" w:rsidRPr="00127369" w:rsidRDefault="006F3ECD" w:rsidP="00F429F1">
      <w:pPr>
        <w:spacing w:after="0" w:line="240" w:lineRule="auto"/>
        <w:ind w:firstLine="720"/>
        <w:jc w:val="both"/>
        <w:rPr>
          <w:rFonts w:ascii="Times New Roman" w:hAnsi="Times New Roman" w:cs="Times New Roman"/>
          <w:b/>
          <w:color w:val="000000" w:themeColor="text1"/>
          <w:sz w:val="26"/>
          <w:szCs w:val="26"/>
        </w:rPr>
      </w:pPr>
      <w:r w:rsidRPr="00127369">
        <w:rPr>
          <w:rFonts w:ascii="Times New Roman" w:hAnsi="Times New Roman" w:cs="Times New Roman"/>
          <w:b/>
          <w:color w:val="000000" w:themeColor="text1"/>
          <w:sz w:val="26"/>
          <w:szCs w:val="26"/>
        </w:rPr>
        <w:t xml:space="preserve">Đơn giá: </w:t>
      </w:r>
      <w:r w:rsidR="003A333A" w:rsidRPr="00127369">
        <w:rPr>
          <w:rFonts w:ascii="Times New Roman" w:hAnsi="Times New Roman" w:cs="Times New Roman"/>
          <w:b/>
          <w:color w:val="000000" w:themeColor="text1"/>
          <w:sz w:val="26"/>
          <w:szCs w:val="26"/>
        </w:rPr>
        <w:t>9408 đồng/lọ</w:t>
      </w:r>
    </w:p>
    <w:p w14:paraId="469EDF25" w14:textId="77777777" w:rsidR="00093874" w:rsidRPr="00127369" w:rsidRDefault="00093874" w:rsidP="00F429F1">
      <w:pPr>
        <w:spacing w:after="0" w:line="240" w:lineRule="auto"/>
        <w:ind w:firstLine="720"/>
        <w:jc w:val="both"/>
        <w:rPr>
          <w:rFonts w:ascii="Times New Roman" w:hAnsi="Times New Roman" w:cs="Times New Roman"/>
          <w:b/>
          <w:color w:val="000000" w:themeColor="text1"/>
          <w:sz w:val="26"/>
          <w:szCs w:val="26"/>
        </w:rPr>
      </w:pPr>
    </w:p>
    <w:p w14:paraId="7ECC4FB8" w14:textId="4A7EAA0B" w:rsidR="007750E5" w:rsidRPr="00127369" w:rsidRDefault="003A333A" w:rsidP="00F429F1">
      <w:pPr>
        <w:spacing w:after="0" w:line="240" w:lineRule="auto"/>
        <w:jc w:val="center"/>
        <w:rPr>
          <w:rFonts w:ascii="Times New Roman" w:hAnsi="Times New Roman" w:cs="Times New Roman"/>
          <w:b/>
          <w:i/>
          <w:color w:val="000000" w:themeColor="text1"/>
          <w:sz w:val="26"/>
          <w:szCs w:val="26"/>
        </w:rPr>
      </w:pPr>
      <w:r w:rsidRPr="00127369">
        <w:rPr>
          <w:rFonts w:ascii="Times New Roman" w:hAnsi="Times New Roman" w:cs="Times New Roman"/>
          <w:b/>
          <w:i/>
          <w:color w:val="000000" w:themeColor="text1"/>
          <w:sz w:val="26"/>
          <w:szCs w:val="26"/>
        </w:rPr>
        <w:t xml:space="preserve">                                                  </w:t>
      </w:r>
      <w:r w:rsidR="00C16D26" w:rsidRPr="00127369">
        <w:rPr>
          <w:rFonts w:ascii="Times New Roman" w:hAnsi="Times New Roman" w:cs="Times New Roman"/>
          <w:b/>
          <w:i/>
          <w:color w:val="000000" w:themeColor="text1"/>
          <w:sz w:val="26"/>
          <w:szCs w:val="26"/>
        </w:rPr>
        <w:t>DS</w:t>
      </w:r>
      <w:r w:rsidR="00C268FB" w:rsidRPr="00127369">
        <w:rPr>
          <w:rFonts w:ascii="Times New Roman" w:hAnsi="Times New Roman" w:cs="Times New Roman"/>
          <w:b/>
          <w:i/>
          <w:color w:val="000000" w:themeColor="text1"/>
          <w:sz w:val="26"/>
          <w:szCs w:val="26"/>
        </w:rPr>
        <w:t xml:space="preserve"> Nguyễn Thị Hường</w:t>
      </w:r>
    </w:p>
    <w:p w14:paraId="7F1B44C5" w14:textId="77777777" w:rsidR="00C854C7" w:rsidRPr="00127369" w:rsidRDefault="00C854C7" w:rsidP="00F429F1">
      <w:pPr>
        <w:spacing w:line="240" w:lineRule="auto"/>
        <w:jc w:val="both"/>
        <w:rPr>
          <w:rFonts w:ascii="Times New Roman" w:hAnsi="Times New Roman" w:cs="Times New Roman"/>
          <w:color w:val="000000" w:themeColor="text1"/>
          <w:sz w:val="26"/>
          <w:szCs w:val="26"/>
        </w:rPr>
      </w:pPr>
    </w:p>
    <w:p w14:paraId="542A2E61" w14:textId="77777777" w:rsidR="003B0B88" w:rsidRPr="00127369" w:rsidRDefault="003B0B88" w:rsidP="00F429F1">
      <w:pPr>
        <w:spacing w:line="240" w:lineRule="auto"/>
        <w:jc w:val="both"/>
        <w:rPr>
          <w:rFonts w:ascii="Times New Roman" w:hAnsi="Times New Roman" w:cs="Times New Roman"/>
          <w:color w:val="000000" w:themeColor="text1"/>
          <w:sz w:val="26"/>
          <w:szCs w:val="26"/>
        </w:rPr>
      </w:pPr>
    </w:p>
    <w:p w14:paraId="71421FF8" w14:textId="77777777" w:rsidR="0011324F" w:rsidRPr="00127369" w:rsidRDefault="0011324F" w:rsidP="00F429F1">
      <w:pPr>
        <w:spacing w:line="240" w:lineRule="auto"/>
        <w:jc w:val="both"/>
        <w:rPr>
          <w:rFonts w:ascii="Times New Roman" w:hAnsi="Times New Roman" w:cs="Times New Roman"/>
          <w:color w:val="000000" w:themeColor="text1"/>
          <w:sz w:val="26"/>
          <w:szCs w:val="26"/>
        </w:rPr>
      </w:pPr>
    </w:p>
    <w:sectPr w:rsidR="0011324F" w:rsidRPr="00127369" w:rsidSect="00ED77F3">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817"/>
    <w:multiLevelType w:val="hybridMultilevel"/>
    <w:tmpl w:val="2B9C7F86"/>
    <w:lvl w:ilvl="0" w:tplc="219A779A">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4F732CD"/>
    <w:multiLevelType w:val="hybridMultilevel"/>
    <w:tmpl w:val="4540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03E97"/>
    <w:multiLevelType w:val="hybridMultilevel"/>
    <w:tmpl w:val="F2C03C58"/>
    <w:lvl w:ilvl="0" w:tplc="219A779A">
      <w:numFmt w:val="bullet"/>
      <w:lvlText w:val="-"/>
      <w:lvlJc w:val="left"/>
      <w:pPr>
        <w:ind w:left="720" w:hanging="360"/>
      </w:pPr>
      <w:rPr>
        <w:rFonts w:ascii="Times New Roman" w:eastAsiaTheme="minorEastAsia"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ED5332B"/>
    <w:multiLevelType w:val="hybridMultilevel"/>
    <w:tmpl w:val="675A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E2AAF"/>
    <w:multiLevelType w:val="hybridMultilevel"/>
    <w:tmpl w:val="6916D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A92765"/>
    <w:multiLevelType w:val="hybridMultilevel"/>
    <w:tmpl w:val="DC0C4C0A"/>
    <w:lvl w:ilvl="0" w:tplc="219A779A">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AA149E9"/>
    <w:multiLevelType w:val="multilevel"/>
    <w:tmpl w:val="4512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87A8F"/>
    <w:multiLevelType w:val="hybridMultilevel"/>
    <w:tmpl w:val="2398E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2C7140"/>
    <w:multiLevelType w:val="hybridMultilevel"/>
    <w:tmpl w:val="31528D26"/>
    <w:lvl w:ilvl="0" w:tplc="256873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46D5C"/>
    <w:multiLevelType w:val="multilevel"/>
    <w:tmpl w:val="4B4AE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06BCF"/>
    <w:multiLevelType w:val="multilevel"/>
    <w:tmpl w:val="6204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953CD"/>
    <w:multiLevelType w:val="multilevel"/>
    <w:tmpl w:val="53B266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91042"/>
    <w:multiLevelType w:val="multilevel"/>
    <w:tmpl w:val="F07C52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83824"/>
    <w:multiLevelType w:val="multilevel"/>
    <w:tmpl w:val="1AF0B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62C0C"/>
    <w:multiLevelType w:val="hybridMultilevel"/>
    <w:tmpl w:val="26142252"/>
    <w:lvl w:ilvl="0" w:tplc="17DA868C">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F9C06C7"/>
    <w:multiLevelType w:val="hybridMultilevel"/>
    <w:tmpl w:val="76BE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B549B"/>
    <w:multiLevelType w:val="hybridMultilevel"/>
    <w:tmpl w:val="0D64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0550A"/>
    <w:multiLevelType w:val="multilevel"/>
    <w:tmpl w:val="34D2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FB2B68"/>
    <w:multiLevelType w:val="multilevel"/>
    <w:tmpl w:val="D6BA2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344462"/>
    <w:multiLevelType w:val="hybridMultilevel"/>
    <w:tmpl w:val="5178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2307F"/>
    <w:multiLevelType w:val="multilevel"/>
    <w:tmpl w:val="794A7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DF3275"/>
    <w:multiLevelType w:val="multilevel"/>
    <w:tmpl w:val="EF2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0276E"/>
    <w:multiLevelType w:val="multilevel"/>
    <w:tmpl w:val="DF94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696179"/>
    <w:multiLevelType w:val="multilevel"/>
    <w:tmpl w:val="4FC21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C1C73"/>
    <w:multiLevelType w:val="hybridMultilevel"/>
    <w:tmpl w:val="1C5C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A4CD7"/>
    <w:multiLevelType w:val="hybridMultilevel"/>
    <w:tmpl w:val="1F3A5898"/>
    <w:lvl w:ilvl="0" w:tplc="219A779A">
      <w:numFmt w:val="bullet"/>
      <w:lvlText w:val="-"/>
      <w:lvlJc w:val="left"/>
      <w:pPr>
        <w:ind w:left="720" w:hanging="360"/>
      </w:pPr>
      <w:rPr>
        <w:rFonts w:ascii="Times New Roman" w:eastAsiaTheme="minorEastAsia"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591340A"/>
    <w:multiLevelType w:val="hybridMultilevel"/>
    <w:tmpl w:val="271A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AD2036"/>
    <w:multiLevelType w:val="hybridMultilevel"/>
    <w:tmpl w:val="CF08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04774"/>
    <w:multiLevelType w:val="hybridMultilevel"/>
    <w:tmpl w:val="E0887E26"/>
    <w:lvl w:ilvl="0" w:tplc="219A779A">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369536C"/>
    <w:multiLevelType w:val="hybridMultilevel"/>
    <w:tmpl w:val="857C70D2"/>
    <w:lvl w:ilvl="0" w:tplc="4D144A9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85105A4"/>
    <w:multiLevelType w:val="hybridMultilevel"/>
    <w:tmpl w:val="0B5C2892"/>
    <w:lvl w:ilvl="0" w:tplc="219A779A">
      <w:numFmt w:val="bullet"/>
      <w:lvlText w:val="-"/>
      <w:lvlJc w:val="left"/>
      <w:pPr>
        <w:ind w:left="720" w:hanging="360"/>
      </w:pPr>
      <w:rPr>
        <w:rFonts w:ascii="Times New Roman" w:eastAsiaTheme="minorEastAsia"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AF31E91"/>
    <w:multiLevelType w:val="multilevel"/>
    <w:tmpl w:val="C24C6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049311">
    <w:abstractNumId w:val="8"/>
  </w:num>
  <w:num w:numId="2" w16cid:durableId="1436904874">
    <w:abstractNumId w:val="29"/>
  </w:num>
  <w:num w:numId="3" w16cid:durableId="746654277">
    <w:abstractNumId w:val="1"/>
  </w:num>
  <w:num w:numId="4" w16cid:durableId="315572642">
    <w:abstractNumId w:val="27"/>
  </w:num>
  <w:num w:numId="5" w16cid:durableId="1082993032">
    <w:abstractNumId w:val="12"/>
  </w:num>
  <w:num w:numId="6" w16cid:durableId="197281392">
    <w:abstractNumId w:val="26"/>
  </w:num>
  <w:num w:numId="7" w16cid:durableId="1975787982">
    <w:abstractNumId w:val="24"/>
  </w:num>
  <w:num w:numId="8" w16cid:durableId="414590767">
    <w:abstractNumId w:val="9"/>
  </w:num>
  <w:num w:numId="9" w16cid:durableId="1737511514">
    <w:abstractNumId w:val="7"/>
  </w:num>
  <w:num w:numId="10" w16cid:durableId="1517310887">
    <w:abstractNumId w:val="15"/>
  </w:num>
  <w:num w:numId="11" w16cid:durableId="962929352">
    <w:abstractNumId w:val="31"/>
  </w:num>
  <w:num w:numId="12" w16cid:durableId="1788741629">
    <w:abstractNumId w:val="18"/>
  </w:num>
  <w:num w:numId="13" w16cid:durableId="1902397540">
    <w:abstractNumId w:val="3"/>
  </w:num>
  <w:num w:numId="14" w16cid:durableId="107744064">
    <w:abstractNumId w:val="13"/>
  </w:num>
  <w:num w:numId="15" w16cid:durableId="348917221">
    <w:abstractNumId w:val="11"/>
  </w:num>
  <w:num w:numId="16" w16cid:durableId="1211108450">
    <w:abstractNumId w:val="23"/>
  </w:num>
  <w:num w:numId="17" w16cid:durableId="109323070">
    <w:abstractNumId w:val="20"/>
  </w:num>
  <w:num w:numId="18" w16cid:durableId="352803502">
    <w:abstractNumId w:val="4"/>
  </w:num>
  <w:num w:numId="19" w16cid:durableId="813761456">
    <w:abstractNumId w:val="19"/>
  </w:num>
  <w:num w:numId="20" w16cid:durableId="252932785">
    <w:abstractNumId w:val="16"/>
  </w:num>
  <w:num w:numId="21" w16cid:durableId="852493766">
    <w:abstractNumId w:val="22"/>
  </w:num>
  <w:num w:numId="22" w16cid:durableId="287244620">
    <w:abstractNumId w:val="10"/>
  </w:num>
  <w:num w:numId="23" w16cid:durableId="1227377875">
    <w:abstractNumId w:val="5"/>
  </w:num>
  <w:num w:numId="24" w16cid:durableId="1882789562">
    <w:abstractNumId w:val="21"/>
  </w:num>
  <w:num w:numId="25" w16cid:durableId="2012486777">
    <w:abstractNumId w:val="25"/>
  </w:num>
  <w:num w:numId="26" w16cid:durableId="837697998">
    <w:abstractNumId w:val="2"/>
  </w:num>
  <w:num w:numId="27" w16cid:durableId="454297990">
    <w:abstractNumId w:val="30"/>
  </w:num>
  <w:num w:numId="28" w16cid:durableId="763574221">
    <w:abstractNumId w:val="0"/>
  </w:num>
  <w:num w:numId="29" w16cid:durableId="1079868299">
    <w:abstractNumId w:val="28"/>
  </w:num>
  <w:num w:numId="30" w16cid:durableId="1224482480">
    <w:abstractNumId w:val="14"/>
  </w:num>
  <w:num w:numId="31" w16cid:durableId="492919181">
    <w:abstractNumId w:val="17"/>
  </w:num>
  <w:num w:numId="32" w16cid:durableId="348146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F3"/>
    <w:rsid w:val="000119B9"/>
    <w:rsid w:val="00012521"/>
    <w:rsid w:val="00035BB9"/>
    <w:rsid w:val="00072068"/>
    <w:rsid w:val="00075DEC"/>
    <w:rsid w:val="00076CF4"/>
    <w:rsid w:val="00087D34"/>
    <w:rsid w:val="00093874"/>
    <w:rsid w:val="000948AC"/>
    <w:rsid w:val="000C718D"/>
    <w:rsid w:val="000D6FFD"/>
    <w:rsid w:val="000F1EE5"/>
    <w:rsid w:val="000F56E8"/>
    <w:rsid w:val="00107739"/>
    <w:rsid w:val="00112619"/>
    <w:rsid w:val="0011324F"/>
    <w:rsid w:val="0012366E"/>
    <w:rsid w:val="00127369"/>
    <w:rsid w:val="00134CAF"/>
    <w:rsid w:val="001735E5"/>
    <w:rsid w:val="001B3F7C"/>
    <w:rsid w:val="001D2240"/>
    <w:rsid w:val="001E1410"/>
    <w:rsid w:val="00207050"/>
    <w:rsid w:val="00212365"/>
    <w:rsid w:val="00243DA5"/>
    <w:rsid w:val="00250782"/>
    <w:rsid w:val="00265355"/>
    <w:rsid w:val="00285DBE"/>
    <w:rsid w:val="00286683"/>
    <w:rsid w:val="002B3027"/>
    <w:rsid w:val="002D4E4A"/>
    <w:rsid w:val="002E171A"/>
    <w:rsid w:val="00301903"/>
    <w:rsid w:val="00303D30"/>
    <w:rsid w:val="003229D6"/>
    <w:rsid w:val="00327CFD"/>
    <w:rsid w:val="00330724"/>
    <w:rsid w:val="00367D5C"/>
    <w:rsid w:val="0039622F"/>
    <w:rsid w:val="003A333A"/>
    <w:rsid w:val="003A61FA"/>
    <w:rsid w:val="003B0B88"/>
    <w:rsid w:val="003B62EE"/>
    <w:rsid w:val="003C4923"/>
    <w:rsid w:val="003C541E"/>
    <w:rsid w:val="003D65B2"/>
    <w:rsid w:val="003F1330"/>
    <w:rsid w:val="003F766E"/>
    <w:rsid w:val="004050F3"/>
    <w:rsid w:val="00424BE8"/>
    <w:rsid w:val="00433AA8"/>
    <w:rsid w:val="0044501A"/>
    <w:rsid w:val="00465A88"/>
    <w:rsid w:val="00472D02"/>
    <w:rsid w:val="00482B0D"/>
    <w:rsid w:val="00484A09"/>
    <w:rsid w:val="00486524"/>
    <w:rsid w:val="00493BA5"/>
    <w:rsid w:val="004C31DD"/>
    <w:rsid w:val="004D7655"/>
    <w:rsid w:val="00502FBD"/>
    <w:rsid w:val="00510CAB"/>
    <w:rsid w:val="005239A3"/>
    <w:rsid w:val="005269A7"/>
    <w:rsid w:val="00542B88"/>
    <w:rsid w:val="00546E3C"/>
    <w:rsid w:val="00561443"/>
    <w:rsid w:val="00565791"/>
    <w:rsid w:val="005669D3"/>
    <w:rsid w:val="00581727"/>
    <w:rsid w:val="00590134"/>
    <w:rsid w:val="0059037E"/>
    <w:rsid w:val="005A5132"/>
    <w:rsid w:val="005B568C"/>
    <w:rsid w:val="005C0E54"/>
    <w:rsid w:val="00604B91"/>
    <w:rsid w:val="00613A46"/>
    <w:rsid w:val="00674FCF"/>
    <w:rsid w:val="00680C8E"/>
    <w:rsid w:val="00682E8A"/>
    <w:rsid w:val="00687150"/>
    <w:rsid w:val="006A3121"/>
    <w:rsid w:val="006A6FAB"/>
    <w:rsid w:val="006D6C47"/>
    <w:rsid w:val="006F3ECD"/>
    <w:rsid w:val="007004E0"/>
    <w:rsid w:val="00702F9F"/>
    <w:rsid w:val="00707031"/>
    <w:rsid w:val="00707072"/>
    <w:rsid w:val="00710742"/>
    <w:rsid w:val="00712647"/>
    <w:rsid w:val="00712BB2"/>
    <w:rsid w:val="00722E42"/>
    <w:rsid w:val="007309D7"/>
    <w:rsid w:val="00752197"/>
    <w:rsid w:val="007750E5"/>
    <w:rsid w:val="007759CE"/>
    <w:rsid w:val="00780CF6"/>
    <w:rsid w:val="00784E96"/>
    <w:rsid w:val="00793D0E"/>
    <w:rsid w:val="007A5299"/>
    <w:rsid w:val="007C78B5"/>
    <w:rsid w:val="007D7EA2"/>
    <w:rsid w:val="007E5B57"/>
    <w:rsid w:val="007F412E"/>
    <w:rsid w:val="0081779F"/>
    <w:rsid w:val="0082365F"/>
    <w:rsid w:val="00824A37"/>
    <w:rsid w:val="008340FF"/>
    <w:rsid w:val="00837E86"/>
    <w:rsid w:val="00855298"/>
    <w:rsid w:val="008742D7"/>
    <w:rsid w:val="00876E37"/>
    <w:rsid w:val="0088389C"/>
    <w:rsid w:val="008A45BD"/>
    <w:rsid w:val="008B09A0"/>
    <w:rsid w:val="008B783E"/>
    <w:rsid w:val="008C0BB3"/>
    <w:rsid w:val="008E6001"/>
    <w:rsid w:val="008E6B89"/>
    <w:rsid w:val="009005C4"/>
    <w:rsid w:val="00900CA9"/>
    <w:rsid w:val="0091488F"/>
    <w:rsid w:val="0092301E"/>
    <w:rsid w:val="00940A53"/>
    <w:rsid w:val="009465B2"/>
    <w:rsid w:val="0095060A"/>
    <w:rsid w:val="00954979"/>
    <w:rsid w:val="0097481D"/>
    <w:rsid w:val="009752AC"/>
    <w:rsid w:val="009813D0"/>
    <w:rsid w:val="00983C63"/>
    <w:rsid w:val="00992F6E"/>
    <w:rsid w:val="00996F86"/>
    <w:rsid w:val="009D0CBB"/>
    <w:rsid w:val="009D1A4E"/>
    <w:rsid w:val="009E20D2"/>
    <w:rsid w:val="009E7ACA"/>
    <w:rsid w:val="00A17A58"/>
    <w:rsid w:val="00A43360"/>
    <w:rsid w:val="00A64BA5"/>
    <w:rsid w:val="00A71527"/>
    <w:rsid w:val="00A81559"/>
    <w:rsid w:val="00A82A13"/>
    <w:rsid w:val="00AD333F"/>
    <w:rsid w:val="00AE1583"/>
    <w:rsid w:val="00AF1ED7"/>
    <w:rsid w:val="00B016DE"/>
    <w:rsid w:val="00B06446"/>
    <w:rsid w:val="00B167D1"/>
    <w:rsid w:val="00B230CA"/>
    <w:rsid w:val="00B2554D"/>
    <w:rsid w:val="00B47A3E"/>
    <w:rsid w:val="00B7745E"/>
    <w:rsid w:val="00B777AD"/>
    <w:rsid w:val="00B83B33"/>
    <w:rsid w:val="00B863F9"/>
    <w:rsid w:val="00B86683"/>
    <w:rsid w:val="00BA0342"/>
    <w:rsid w:val="00BA5C73"/>
    <w:rsid w:val="00BA7150"/>
    <w:rsid w:val="00BB4BB2"/>
    <w:rsid w:val="00BB54BD"/>
    <w:rsid w:val="00BC5EBF"/>
    <w:rsid w:val="00BC6574"/>
    <w:rsid w:val="00BF5239"/>
    <w:rsid w:val="00C14563"/>
    <w:rsid w:val="00C16D26"/>
    <w:rsid w:val="00C21B4A"/>
    <w:rsid w:val="00C23C58"/>
    <w:rsid w:val="00C244F9"/>
    <w:rsid w:val="00C268FB"/>
    <w:rsid w:val="00C3022A"/>
    <w:rsid w:val="00C43872"/>
    <w:rsid w:val="00C60346"/>
    <w:rsid w:val="00C6382F"/>
    <w:rsid w:val="00C854C7"/>
    <w:rsid w:val="00CA15F0"/>
    <w:rsid w:val="00CA182E"/>
    <w:rsid w:val="00CB0343"/>
    <w:rsid w:val="00CB7297"/>
    <w:rsid w:val="00CC3A1C"/>
    <w:rsid w:val="00CC5E19"/>
    <w:rsid w:val="00CC5F48"/>
    <w:rsid w:val="00CD0352"/>
    <w:rsid w:val="00CE3546"/>
    <w:rsid w:val="00CE7748"/>
    <w:rsid w:val="00D03162"/>
    <w:rsid w:val="00D06481"/>
    <w:rsid w:val="00D13D09"/>
    <w:rsid w:val="00D31980"/>
    <w:rsid w:val="00D700A5"/>
    <w:rsid w:val="00D7217A"/>
    <w:rsid w:val="00D857AB"/>
    <w:rsid w:val="00D86666"/>
    <w:rsid w:val="00D87C6A"/>
    <w:rsid w:val="00DA5B0D"/>
    <w:rsid w:val="00DC2250"/>
    <w:rsid w:val="00DC48BE"/>
    <w:rsid w:val="00DC7F62"/>
    <w:rsid w:val="00DD2295"/>
    <w:rsid w:val="00DE3E72"/>
    <w:rsid w:val="00DF0EAB"/>
    <w:rsid w:val="00DF4291"/>
    <w:rsid w:val="00E10149"/>
    <w:rsid w:val="00E11C10"/>
    <w:rsid w:val="00E450F8"/>
    <w:rsid w:val="00E6750D"/>
    <w:rsid w:val="00E72C77"/>
    <w:rsid w:val="00E92334"/>
    <w:rsid w:val="00EB072B"/>
    <w:rsid w:val="00EC1082"/>
    <w:rsid w:val="00ED77F3"/>
    <w:rsid w:val="00EF3756"/>
    <w:rsid w:val="00EF3CD1"/>
    <w:rsid w:val="00EF6EF0"/>
    <w:rsid w:val="00EF7B79"/>
    <w:rsid w:val="00F0133E"/>
    <w:rsid w:val="00F07BE0"/>
    <w:rsid w:val="00F17290"/>
    <w:rsid w:val="00F20A2F"/>
    <w:rsid w:val="00F41DA0"/>
    <w:rsid w:val="00F429F1"/>
    <w:rsid w:val="00F65841"/>
    <w:rsid w:val="00F817E5"/>
    <w:rsid w:val="00F83A3B"/>
    <w:rsid w:val="00F86F46"/>
    <w:rsid w:val="00FA35BD"/>
    <w:rsid w:val="00FB1136"/>
    <w:rsid w:val="00FD4511"/>
    <w:rsid w:val="00FD55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0DC0"/>
  <w15:docId w15:val="{35D5F448-5E83-49AF-8E77-F11B7537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D7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866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0F3"/>
    <w:pPr>
      <w:ind w:left="720"/>
      <w:contextualSpacing/>
    </w:pPr>
  </w:style>
  <w:style w:type="paragraph" w:styleId="BalloonText">
    <w:name w:val="Balloon Text"/>
    <w:basedOn w:val="Normal"/>
    <w:link w:val="BalloonTextChar"/>
    <w:uiPriority w:val="99"/>
    <w:semiHidden/>
    <w:unhideWhenUsed/>
    <w:rsid w:val="00775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0E5"/>
    <w:rPr>
      <w:rFonts w:ascii="Tahoma" w:hAnsi="Tahoma" w:cs="Tahoma"/>
      <w:sz w:val="16"/>
      <w:szCs w:val="16"/>
    </w:rPr>
  </w:style>
  <w:style w:type="character" w:customStyle="1" w:styleId="Heading2Char">
    <w:name w:val="Heading 2 Char"/>
    <w:basedOn w:val="DefaultParagraphFont"/>
    <w:link w:val="Heading2"/>
    <w:uiPriority w:val="9"/>
    <w:rsid w:val="00ED77F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B54BD"/>
    <w:rPr>
      <w:color w:val="0000FF"/>
      <w:u w:val="single"/>
    </w:rPr>
  </w:style>
  <w:style w:type="paragraph" w:styleId="NormalWeb">
    <w:name w:val="Normal (Web)"/>
    <w:basedOn w:val="Normal"/>
    <w:uiPriority w:val="99"/>
    <w:unhideWhenUsed/>
    <w:rsid w:val="006871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6DE"/>
    <w:rPr>
      <w:b/>
      <w:bCs/>
    </w:rPr>
  </w:style>
  <w:style w:type="character" w:customStyle="1" w:styleId="Heading3Char">
    <w:name w:val="Heading 3 Char"/>
    <w:basedOn w:val="DefaultParagraphFont"/>
    <w:link w:val="Heading3"/>
    <w:uiPriority w:val="9"/>
    <w:semiHidden/>
    <w:rsid w:val="00D86666"/>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874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657">
      <w:bodyDiv w:val="1"/>
      <w:marLeft w:val="0"/>
      <w:marRight w:val="0"/>
      <w:marTop w:val="0"/>
      <w:marBottom w:val="0"/>
      <w:divBdr>
        <w:top w:val="none" w:sz="0" w:space="0" w:color="auto"/>
        <w:left w:val="none" w:sz="0" w:space="0" w:color="auto"/>
        <w:bottom w:val="none" w:sz="0" w:space="0" w:color="auto"/>
        <w:right w:val="none" w:sz="0" w:space="0" w:color="auto"/>
      </w:divBdr>
    </w:div>
    <w:div w:id="74523689">
      <w:bodyDiv w:val="1"/>
      <w:marLeft w:val="0"/>
      <w:marRight w:val="0"/>
      <w:marTop w:val="0"/>
      <w:marBottom w:val="0"/>
      <w:divBdr>
        <w:top w:val="none" w:sz="0" w:space="0" w:color="auto"/>
        <w:left w:val="none" w:sz="0" w:space="0" w:color="auto"/>
        <w:bottom w:val="none" w:sz="0" w:space="0" w:color="auto"/>
        <w:right w:val="none" w:sz="0" w:space="0" w:color="auto"/>
      </w:divBdr>
    </w:div>
    <w:div w:id="76439162">
      <w:bodyDiv w:val="1"/>
      <w:marLeft w:val="0"/>
      <w:marRight w:val="0"/>
      <w:marTop w:val="0"/>
      <w:marBottom w:val="0"/>
      <w:divBdr>
        <w:top w:val="none" w:sz="0" w:space="0" w:color="auto"/>
        <w:left w:val="none" w:sz="0" w:space="0" w:color="auto"/>
        <w:bottom w:val="none" w:sz="0" w:space="0" w:color="auto"/>
        <w:right w:val="none" w:sz="0" w:space="0" w:color="auto"/>
      </w:divBdr>
    </w:div>
    <w:div w:id="96872890">
      <w:bodyDiv w:val="1"/>
      <w:marLeft w:val="0"/>
      <w:marRight w:val="0"/>
      <w:marTop w:val="0"/>
      <w:marBottom w:val="0"/>
      <w:divBdr>
        <w:top w:val="none" w:sz="0" w:space="0" w:color="auto"/>
        <w:left w:val="none" w:sz="0" w:space="0" w:color="auto"/>
        <w:bottom w:val="none" w:sz="0" w:space="0" w:color="auto"/>
        <w:right w:val="none" w:sz="0" w:space="0" w:color="auto"/>
      </w:divBdr>
    </w:div>
    <w:div w:id="131677184">
      <w:bodyDiv w:val="1"/>
      <w:marLeft w:val="0"/>
      <w:marRight w:val="0"/>
      <w:marTop w:val="0"/>
      <w:marBottom w:val="0"/>
      <w:divBdr>
        <w:top w:val="none" w:sz="0" w:space="0" w:color="auto"/>
        <w:left w:val="none" w:sz="0" w:space="0" w:color="auto"/>
        <w:bottom w:val="none" w:sz="0" w:space="0" w:color="auto"/>
        <w:right w:val="none" w:sz="0" w:space="0" w:color="auto"/>
      </w:divBdr>
      <w:divsChild>
        <w:div w:id="713038126">
          <w:marLeft w:val="0"/>
          <w:marRight w:val="0"/>
          <w:marTop w:val="0"/>
          <w:marBottom w:val="0"/>
          <w:divBdr>
            <w:top w:val="none" w:sz="0" w:space="0" w:color="auto"/>
            <w:left w:val="none" w:sz="0" w:space="0" w:color="auto"/>
            <w:bottom w:val="none" w:sz="0" w:space="0" w:color="auto"/>
            <w:right w:val="none" w:sz="0" w:space="0" w:color="auto"/>
          </w:divBdr>
        </w:div>
      </w:divsChild>
    </w:div>
    <w:div w:id="431511730">
      <w:bodyDiv w:val="1"/>
      <w:marLeft w:val="0"/>
      <w:marRight w:val="0"/>
      <w:marTop w:val="0"/>
      <w:marBottom w:val="0"/>
      <w:divBdr>
        <w:top w:val="none" w:sz="0" w:space="0" w:color="auto"/>
        <w:left w:val="none" w:sz="0" w:space="0" w:color="auto"/>
        <w:bottom w:val="none" w:sz="0" w:space="0" w:color="auto"/>
        <w:right w:val="none" w:sz="0" w:space="0" w:color="auto"/>
      </w:divBdr>
    </w:div>
    <w:div w:id="547957799">
      <w:bodyDiv w:val="1"/>
      <w:marLeft w:val="0"/>
      <w:marRight w:val="0"/>
      <w:marTop w:val="0"/>
      <w:marBottom w:val="0"/>
      <w:divBdr>
        <w:top w:val="none" w:sz="0" w:space="0" w:color="auto"/>
        <w:left w:val="none" w:sz="0" w:space="0" w:color="auto"/>
        <w:bottom w:val="none" w:sz="0" w:space="0" w:color="auto"/>
        <w:right w:val="none" w:sz="0" w:space="0" w:color="auto"/>
      </w:divBdr>
    </w:div>
    <w:div w:id="593897596">
      <w:bodyDiv w:val="1"/>
      <w:marLeft w:val="0"/>
      <w:marRight w:val="0"/>
      <w:marTop w:val="0"/>
      <w:marBottom w:val="0"/>
      <w:divBdr>
        <w:top w:val="none" w:sz="0" w:space="0" w:color="auto"/>
        <w:left w:val="none" w:sz="0" w:space="0" w:color="auto"/>
        <w:bottom w:val="none" w:sz="0" w:space="0" w:color="auto"/>
        <w:right w:val="none" w:sz="0" w:space="0" w:color="auto"/>
      </w:divBdr>
    </w:div>
    <w:div w:id="594098787">
      <w:bodyDiv w:val="1"/>
      <w:marLeft w:val="0"/>
      <w:marRight w:val="0"/>
      <w:marTop w:val="0"/>
      <w:marBottom w:val="0"/>
      <w:divBdr>
        <w:top w:val="none" w:sz="0" w:space="0" w:color="auto"/>
        <w:left w:val="none" w:sz="0" w:space="0" w:color="auto"/>
        <w:bottom w:val="none" w:sz="0" w:space="0" w:color="auto"/>
        <w:right w:val="none" w:sz="0" w:space="0" w:color="auto"/>
      </w:divBdr>
    </w:div>
    <w:div w:id="725106785">
      <w:bodyDiv w:val="1"/>
      <w:marLeft w:val="0"/>
      <w:marRight w:val="0"/>
      <w:marTop w:val="0"/>
      <w:marBottom w:val="0"/>
      <w:divBdr>
        <w:top w:val="none" w:sz="0" w:space="0" w:color="auto"/>
        <w:left w:val="none" w:sz="0" w:space="0" w:color="auto"/>
        <w:bottom w:val="none" w:sz="0" w:space="0" w:color="auto"/>
        <w:right w:val="none" w:sz="0" w:space="0" w:color="auto"/>
      </w:divBdr>
    </w:div>
    <w:div w:id="729617623">
      <w:bodyDiv w:val="1"/>
      <w:marLeft w:val="0"/>
      <w:marRight w:val="0"/>
      <w:marTop w:val="0"/>
      <w:marBottom w:val="0"/>
      <w:divBdr>
        <w:top w:val="none" w:sz="0" w:space="0" w:color="auto"/>
        <w:left w:val="none" w:sz="0" w:space="0" w:color="auto"/>
        <w:bottom w:val="none" w:sz="0" w:space="0" w:color="auto"/>
        <w:right w:val="none" w:sz="0" w:space="0" w:color="auto"/>
      </w:divBdr>
    </w:div>
    <w:div w:id="970210853">
      <w:bodyDiv w:val="1"/>
      <w:marLeft w:val="0"/>
      <w:marRight w:val="0"/>
      <w:marTop w:val="0"/>
      <w:marBottom w:val="0"/>
      <w:divBdr>
        <w:top w:val="none" w:sz="0" w:space="0" w:color="auto"/>
        <w:left w:val="none" w:sz="0" w:space="0" w:color="auto"/>
        <w:bottom w:val="none" w:sz="0" w:space="0" w:color="auto"/>
        <w:right w:val="none" w:sz="0" w:space="0" w:color="auto"/>
      </w:divBdr>
      <w:divsChild>
        <w:div w:id="1801995861">
          <w:marLeft w:val="75"/>
          <w:marRight w:val="75"/>
          <w:marTop w:val="75"/>
          <w:marBottom w:val="75"/>
          <w:divBdr>
            <w:top w:val="none" w:sz="0" w:space="0" w:color="auto"/>
            <w:left w:val="none" w:sz="0" w:space="0" w:color="auto"/>
            <w:bottom w:val="none" w:sz="0" w:space="0" w:color="auto"/>
            <w:right w:val="none" w:sz="0" w:space="0" w:color="auto"/>
          </w:divBdr>
        </w:div>
      </w:divsChild>
    </w:div>
    <w:div w:id="1530021334">
      <w:bodyDiv w:val="1"/>
      <w:marLeft w:val="0"/>
      <w:marRight w:val="0"/>
      <w:marTop w:val="0"/>
      <w:marBottom w:val="0"/>
      <w:divBdr>
        <w:top w:val="none" w:sz="0" w:space="0" w:color="auto"/>
        <w:left w:val="none" w:sz="0" w:space="0" w:color="auto"/>
        <w:bottom w:val="none" w:sz="0" w:space="0" w:color="auto"/>
        <w:right w:val="none" w:sz="0" w:space="0" w:color="auto"/>
      </w:divBdr>
    </w:div>
    <w:div w:id="1701316511">
      <w:bodyDiv w:val="1"/>
      <w:marLeft w:val="0"/>
      <w:marRight w:val="0"/>
      <w:marTop w:val="0"/>
      <w:marBottom w:val="0"/>
      <w:divBdr>
        <w:top w:val="none" w:sz="0" w:space="0" w:color="auto"/>
        <w:left w:val="none" w:sz="0" w:space="0" w:color="auto"/>
        <w:bottom w:val="none" w:sz="0" w:space="0" w:color="auto"/>
        <w:right w:val="none" w:sz="0" w:space="0" w:color="auto"/>
      </w:divBdr>
    </w:div>
    <w:div w:id="1730766392">
      <w:bodyDiv w:val="1"/>
      <w:marLeft w:val="0"/>
      <w:marRight w:val="0"/>
      <w:marTop w:val="0"/>
      <w:marBottom w:val="0"/>
      <w:divBdr>
        <w:top w:val="none" w:sz="0" w:space="0" w:color="auto"/>
        <w:left w:val="none" w:sz="0" w:space="0" w:color="auto"/>
        <w:bottom w:val="none" w:sz="0" w:space="0" w:color="auto"/>
        <w:right w:val="none" w:sz="0" w:space="0" w:color="auto"/>
      </w:divBdr>
    </w:div>
    <w:div w:id="18467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inmec.com/vi/tin-tuc/thong-tin-suc-khoe/vitamin-b12-cobalamin-cong-dung-lieu-dung-tac-dung-p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594C0-0A14-4842-894C-B79098AF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Nguyễn Thị Hường</cp:lastModifiedBy>
  <cp:revision>10</cp:revision>
  <cp:lastPrinted>2022-07-22T03:30:00Z</cp:lastPrinted>
  <dcterms:created xsi:type="dcterms:W3CDTF">2023-04-10T02:34:00Z</dcterms:created>
  <dcterms:modified xsi:type="dcterms:W3CDTF">2023-04-10T07:09:00Z</dcterms:modified>
</cp:coreProperties>
</file>