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C756" w14:textId="6361D340" w:rsidR="00406EFE" w:rsidRPr="00CF1E6A" w:rsidRDefault="00406EFE" w:rsidP="00406EFE">
      <w:pPr>
        <w:rPr>
          <w:rFonts w:cs="Times New Roman"/>
          <w:b/>
          <w:sz w:val="24"/>
          <w:szCs w:val="24"/>
          <w:u w:val="single"/>
          <w:lang w:val="en-US"/>
        </w:rPr>
      </w:pPr>
      <w:r w:rsidRPr="00CF1E6A">
        <w:rPr>
          <w:rFonts w:cs="Times New Roman"/>
          <w:b/>
          <w:sz w:val="24"/>
          <w:szCs w:val="24"/>
          <w:u w:val="single"/>
        </w:rPr>
        <w:t xml:space="preserve">ĐƠN VỊ THÔNG TIN THUỐC BV PHCN -  THÁNG </w:t>
      </w:r>
      <w:r w:rsidR="00084A4E">
        <w:rPr>
          <w:rFonts w:cs="Times New Roman"/>
          <w:b/>
          <w:sz w:val="24"/>
          <w:szCs w:val="24"/>
          <w:u w:val="single"/>
          <w:lang w:val="en-US"/>
        </w:rPr>
        <w:t>12/2023</w:t>
      </w:r>
    </w:p>
    <w:p w14:paraId="7D872A2C" w14:textId="77777777" w:rsidR="00406EFE" w:rsidRDefault="00406EFE" w:rsidP="00747039">
      <w:pPr>
        <w:jc w:val="center"/>
        <w:rPr>
          <w:b/>
          <w:sz w:val="40"/>
          <w:szCs w:val="40"/>
          <w:lang w:val="en-US"/>
        </w:rPr>
      </w:pPr>
    </w:p>
    <w:p w14:paraId="4569C49B" w14:textId="5732EFC0" w:rsidR="002D1E5B" w:rsidRDefault="00FA5BD9" w:rsidP="001B7E4C">
      <w:pPr>
        <w:spacing w:line="360" w:lineRule="auto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MECONEURO</w:t>
      </w:r>
    </w:p>
    <w:p w14:paraId="05A85A6F" w14:textId="48DF258E" w:rsidR="00747039" w:rsidRPr="00747039" w:rsidRDefault="003E3AC1" w:rsidP="00747039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/>
        </w:rPr>
        <w:drawing>
          <wp:inline distT="0" distB="0" distL="0" distR="0" wp14:anchorId="20B52FE1" wp14:editId="59C18ACC">
            <wp:extent cx="1339456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27" cy="10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CA56" w14:textId="01B67872" w:rsidR="00AA41CF" w:rsidRDefault="00DE51D6" w:rsidP="00892BCF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szCs w:val="28"/>
          <w:lang w:val="en-US"/>
        </w:rPr>
      </w:pPr>
      <w:r w:rsidRPr="00892BCF">
        <w:rPr>
          <w:rFonts w:eastAsia="Times New Roman" w:cs="Times New Roman"/>
          <w:b/>
          <w:bCs/>
          <w:szCs w:val="28"/>
          <w:lang w:val="en-US"/>
        </w:rPr>
        <w:t>Thành phần:</w:t>
      </w:r>
      <w:r w:rsidRPr="00DE51D6">
        <w:rPr>
          <w:rFonts w:eastAsia="Times New Roman" w:cs="Times New Roman"/>
          <w:szCs w:val="28"/>
          <w:lang w:val="en-US"/>
        </w:rPr>
        <w:t xml:space="preserve">  </w:t>
      </w:r>
      <w:r w:rsidR="000B0242">
        <w:rPr>
          <w:rFonts w:eastAsia="Times New Roman" w:cs="Times New Roman"/>
          <w:szCs w:val="28"/>
          <w:lang w:val="en-US"/>
        </w:rPr>
        <w:t xml:space="preserve">Mỗi 1ml thuốc tiêm có chứa </w:t>
      </w:r>
    </w:p>
    <w:p w14:paraId="3B9ACAD3" w14:textId="77777777" w:rsidR="00AA41CF" w:rsidRDefault="00AA41CF" w:rsidP="00892BCF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Hoạt chất : Mecobalamin ……………………………………..500mcg</w:t>
      </w:r>
    </w:p>
    <w:p w14:paraId="26A20BEC" w14:textId="1A9BAFE4" w:rsidR="00DE51D6" w:rsidRDefault="00AA41CF" w:rsidP="00892BCF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Tá dược : </w:t>
      </w:r>
      <w:r w:rsidR="00497B4E">
        <w:rPr>
          <w:rFonts w:eastAsia="Times New Roman" w:cs="Times New Roman"/>
          <w:szCs w:val="28"/>
          <w:lang w:val="en-US"/>
        </w:rPr>
        <w:t xml:space="preserve">Natriclorid </w:t>
      </w:r>
      <w:r w:rsidR="00DE51D6" w:rsidRPr="00DE51D6">
        <w:rPr>
          <w:rFonts w:eastAsia="Times New Roman" w:cs="Times New Roman"/>
          <w:szCs w:val="28"/>
          <w:lang w:val="en-US"/>
        </w:rPr>
        <w:t xml:space="preserve">    </w:t>
      </w:r>
    </w:p>
    <w:p w14:paraId="4AE40AF2" w14:textId="77777777" w:rsidR="003E3AC1" w:rsidRPr="00DE51D6" w:rsidRDefault="003E3AC1" w:rsidP="00892BCF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szCs w:val="28"/>
          <w:lang w:val="en-US"/>
        </w:rPr>
      </w:pPr>
    </w:p>
    <w:p w14:paraId="105642C7" w14:textId="21960584" w:rsidR="00DE51D6" w:rsidRDefault="00DE51D6" w:rsidP="00DE51D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 w:rsidRPr="00892BCF">
        <w:rPr>
          <w:rFonts w:eastAsia="Times New Roman" w:cs="Times New Roman"/>
          <w:b/>
          <w:bCs/>
          <w:szCs w:val="28"/>
          <w:lang w:val="en-US"/>
        </w:rPr>
        <w:t>Chỉ định:</w:t>
      </w:r>
    </w:p>
    <w:p w14:paraId="135E4E3B" w14:textId="0228BE96" w:rsidR="006E73C5" w:rsidRPr="001D3043" w:rsidRDefault="001D3043" w:rsidP="001D3043">
      <w:pPr>
        <w:pStyle w:val="ListParagraph"/>
        <w:numPr>
          <w:ilvl w:val="0"/>
          <w:numId w:val="21"/>
        </w:num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Bệnh thần kinh ngoại biên </w:t>
      </w:r>
    </w:p>
    <w:p w14:paraId="70242E32" w14:textId="1567B64E" w:rsidR="001D3043" w:rsidRPr="001D3043" w:rsidRDefault="001D3043" w:rsidP="001D3043">
      <w:pPr>
        <w:pStyle w:val="ListParagraph"/>
        <w:numPr>
          <w:ilvl w:val="0"/>
          <w:numId w:val="21"/>
        </w:num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Bệnh thiếu máu hồng cầu khổng lồ do thiếu vitamin B12 </w:t>
      </w:r>
    </w:p>
    <w:p w14:paraId="7A0B8E7C" w14:textId="0BD2DE26" w:rsidR="00DE51D6" w:rsidRDefault="00DE51D6" w:rsidP="00010962">
      <w:pPr>
        <w:shd w:val="clear" w:color="auto" w:fill="FFFFFF"/>
        <w:jc w:val="both"/>
        <w:rPr>
          <w:rFonts w:eastAsia="Times New Roman" w:cs="Times New Roman"/>
          <w:b/>
          <w:bCs/>
          <w:szCs w:val="28"/>
          <w:lang w:val="en-US"/>
        </w:rPr>
      </w:pPr>
      <w:r w:rsidRPr="00892BCF">
        <w:rPr>
          <w:rFonts w:eastAsia="Times New Roman" w:cs="Times New Roman"/>
          <w:b/>
          <w:bCs/>
          <w:szCs w:val="28"/>
          <w:lang w:val="en-US"/>
        </w:rPr>
        <w:t>Chống chỉ định:</w:t>
      </w:r>
    </w:p>
    <w:p w14:paraId="33A103CA" w14:textId="288EC7B0" w:rsidR="003B1985" w:rsidRPr="007D2935" w:rsidRDefault="007D2935" w:rsidP="007D2935">
      <w:pPr>
        <w:shd w:val="clear" w:color="auto" w:fill="FFFFFF"/>
        <w:ind w:firstLine="360"/>
        <w:jc w:val="both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3B1985" w:rsidRPr="007D2935">
        <w:rPr>
          <w:rFonts w:eastAsia="Times New Roman" w:cs="Times New Roman"/>
          <w:szCs w:val="28"/>
          <w:lang w:val="en-US"/>
        </w:rPr>
        <w:t xml:space="preserve">Không dùng cho bệnh nhân </w:t>
      </w:r>
      <w:r w:rsidR="00C559B2" w:rsidRPr="007D2935">
        <w:rPr>
          <w:rFonts w:eastAsia="Times New Roman" w:cs="Times New Roman"/>
          <w:szCs w:val="28"/>
          <w:lang w:val="en-US"/>
        </w:rPr>
        <w:t xml:space="preserve">quá mẫn với Mecobalamin hoặc với bất kỳ thành phần nào của thuốc </w:t>
      </w:r>
    </w:p>
    <w:p w14:paraId="38C499E3" w14:textId="3D4CE9E1" w:rsidR="00C559B2" w:rsidRPr="007D2935" w:rsidRDefault="007D2935" w:rsidP="007D2935">
      <w:pPr>
        <w:shd w:val="clear" w:color="auto" w:fill="FFFFFF"/>
        <w:ind w:firstLine="360"/>
        <w:jc w:val="both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C559B2" w:rsidRPr="007D2935">
        <w:rPr>
          <w:rFonts w:eastAsia="Times New Roman" w:cs="Times New Roman"/>
          <w:szCs w:val="28"/>
          <w:lang w:val="en-US"/>
        </w:rPr>
        <w:t xml:space="preserve">Meconeuro cũng chống chỉ định cho bệnh nhân </w:t>
      </w:r>
      <w:r w:rsidR="00E77169" w:rsidRPr="007D2935">
        <w:rPr>
          <w:rFonts w:eastAsia="Times New Roman" w:cs="Times New Roman"/>
          <w:szCs w:val="28"/>
          <w:lang w:val="en-US"/>
        </w:rPr>
        <w:t xml:space="preserve">quá mẫn với Coban vi mecobalamin có chứa coban </w:t>
      </w:r>
    </w:p>
    <w:p w14:paraId="11229F12" w14:textId="4AA507DA" w:rsidR="00E77169" w:rsidRPr="007D2935" w:rsidRDefault="007D2935" w:rsidP="007D2935">
      <w:pPr>
        <w:shd w:val="clear" w:color="auto" w:fill="FFFFFF"/>
        <w:ind w:firstLine="360"/>
        <w:jc w:val="both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E77169" w:rsidRPr="007D2935">
        <w:rPr>
          <w:rFonts w:eastAsia="Times New Roman" w:cs="Times New Roman"/>
          <w:szCs w:val="28"/>
          <w:lang w:val="en-US"/>
        </w:rPr>
        <w:t xml:space="preserve">Nếu nghi ngờ </w:t>
      </w:r>
      <w:r w:rsidR="00CF4E19" w:rsidRPr="007D2935">
        <w:rPr>
          <w:rFonts w:eastAsia="Times New Roman" w:cs="Times New Roman"/>
          <w:szCs w:val="28"/>
          <w:lang w:val="en-US"/>
        </w:rPr>
        <w:t xml:space="preserve">quá mẫn với coban , nên dùng một liều thử trong da vì sốc  phản vệ và tử vong </w:t>
      </w:r>
      <w:r w:rsidR="00D53B5E" w:rsidRPr="007D2935">
        <w:rPr>
          <w:rFonts w:eastAsia="Times New Roman" w:cs="Times New Roman"/>
          <w:szCs w:val="28"/>
          <w:lang w:val="en-US"/>
        </w:rPr>
        <w:t>đã thấy báo cáo khi dùng mecobalamin đường tiêm.</w:t>
      </w:r>
    </w:p>
    <w:p w14:paraId="696E7CCC" w14:textId="24EA51F1" w:rsidR="00DE51D6" w:rsidRDefault="003415DF" w:rsidP="003415DF">
      <w:pPr>
        <w:shd w:val="clear" w:color="auto" w:fill="FFFFFF"/>
        <w:ind w:left="-60"/>
        <w:jc w:val="both"/>
        <w:rPr>
          <w:rFonts w:eastAsia="Times New Roman" w:cs="Times New Roman"/>
          <w:b/>
          <w:szCs w:val="28"/>
          <w:lang w:val="en-US"/>
        </w:rPr>
      </w:pPr>
      <w:r w:rsidRPr="003415DF">
        <w:rPr>
          <w:rFonts w:eastAsia="Times New Roman" w:cs="Times New Roman"/>
          <w:b/>
          <w:szCs w:val="28"/>
          <w:lang w:val="en-US"/>
        </w:rPr>
        <w:t xml:space="preserve">Phụ nữ mang </w:t>
      </w:r>
      <w:r w:rsidR="00DE51D6" w:rsidRPr="00DE51D6">
        <w:rPr>
          <w:rFonts w:eastAsia="Times New Roman" w:cs="Times New Roman"/>
          <w:b/>
          <w:szCs w:val="28"/>
          <w:lang w:val="en-US"/>
        </w:rPr>
        <w:t xml:space="preserve">thai và </w:t>
      </w:r>
      <w:r>
        <w:rPr>
          <w:rFonts w:eastAsia="Times New Roman" w:cs="Times New Roman"/>
          <w:b/>
          <w:szCs w:val="28"/>
          <w:lang w:val="en-US"/>
        </w:rPr>
        <w:t>cho</w:t>
      </w:r>
      <w:r w:rsidR="00DE51D6" w:rsidRPr="00DE51D6">
        <w:rPr>
          <w:rFonts w:eastAsia="Times New Roman" w:cs="Times New Roman"/>
          <w:b/>
          <w:szCs w:val="28"/>
          <w:lang w:val="en-US"/>
        </w:rPr>
        <w:t xml:space="preserve"> con bú</w:t>
      </w:r>
      <w:r w:rsidR="00D53B5E">
        <w:rPr>
          <w:rFonts w:eastAsia="Times New Roman" w:cs="Times New Roman"/>
          <w:b/>
          <w:szCs w:val="28"/>
          <w:lang w:val="en-US"/>
        </w:rPr>
        <w:t>:</w:t>
      </w:r>
    </w:p>
    <w:p w14:paraId="4C565F5F" w14:textId="0E10D19C" w:rsidR="00D53B5E" w:rsidRPr="007D2935" w:rsidRDefault="007D2935" w:rsidP="007D2935">
      <w:pPr>
        <w:shd w:val="clear" w:color="auto" w:fill="FFFFFF"/>
        <w:ind w:firstLine="360"/>
        <w:jc w:val="both"/>
        <w:rPr>
          <w:rFonts w:eastAsia="Times New Roman" w:cs="Times New Roman"/>
          <w:b/>
          <w:szCs w:val="28"/>
          <w:lang w:val="en-US"/>
        </w:rPr>
      </w:pPr>
      <w:r>
        <w:rPr>
          <w:rFonts w:eastAsia="Times New Roman" w:cs="Times New Roman"/>
          <w:bCs/>
          <w:szCs w:val="28"/>
          <w:lang w:val="en-US"/>
        </w:rPr>
        <w:t xml:space="preserve">- </w:t>
      </w:r>
      <w:r w:rsidR="00D36915" w:rsidRPr="007D2935">
        <w:rPr>
          <w:rFonts w:eastAsia="Times New Roman" w:cs="Times New Roman"/>
          <w:bCs/>
          <w:szCs w:val="28"/>
          <w:lang w:val="en-US"/>
        </w:rPr>
        <w:t xml:space="preserve">Phụ nữ mang thai : </w:t>
      </w:r>
      <w:r w:rsidR="00B917A0" w:rsidRPr="007D2935">
        <w:rPr>
          <w:rFonts w:eastAsia="Times New Roman" w:cs="Times New Roman"/>
          <w:bCs/>
          <w:szCs w:val="28"/>
          <w:lang w:val="en-US"/>
        </w:rPr>
        <w:t>Chưa có nghiên cứu đầy đủ trên phụ nữ mang thai</w:t>
      </w:r>
      <w:r w:rsidR="000F5068">
        <w:rPr>
          <w:rFonts w:eastAsia="Times New Roman" w:cs="Times New Roman"/>
          <w:bCs/>
          <w:szCs w:val="28"/>
          <w:lang w:val="en-US"/>
        </w:rPr>
        <w:t xml:space="preserve"> nhưng</w:t>
      </w:r>
      <w:r w:rsidR="00B917A0" w:rsidRPr="007D2935">
        <w:rPr>
          <w:rFonts w:eastAsia="Times New Roman" w:cs="Times New Roman"/>
          <w:bCs/>
          <w:szCs w:val="28"/>
          <w:lang w:val="en-US"/>
        </w:rPr>
        <w:t xml:space="preserve"> chưa có biến chứng nào cho người mẹ </w:t>
      </w:r>
      <w:r w:rsidR="00EF5FF9" w:rsidRPr="007D2935">
        <w:rPr>
          <w:rFonts w:eastAsia="Times New Roman" w:cs="Times New Roman"/>
          <w:bCs/>
          <w:szCs w:val="28"/>
          <w:lang w:val="en-US"/>
        </w:rPr>
        <w:t xml:space="preserve">cũng như </w:t>
      </w:r>
      <w:r w:rsidR="000608C7" w:rsidRPr="007D2935">
        <w:rPr>
          <w:rFonts w:eastAsia="Times New Roman" w:cs="Times New Roman"/>
          <w:bCs/>
          <w:szCs w:val="28"/>
          <w:lang w:val="en-US"/>
        </w:rPr>
        <w:t xml:space="preserve">bào thai khi dùng với liều khuyến cáo cho phép, do vậy phụ nữ mang thai vẫn có thể dùng thuốc </w:t>
      </w:r>
      <w:r w:rsidR="00CA0B73" w:rsidRPr="007D2935">
        <w:rPr>
          <w:rFonts w:eastAsia="Times New Roman" w:cs="Times New Roman"/>
          <w:bCs/>
          <w:szCs w:val="28"/>
          <w:lang w:val="en-US"/>
        </w:rPr>
        <w:t>này nếu có đáp ứng tốt và tuân thủ theo chỉ định của bác sỹ.</w:t>
      </w:r>
    </w:p>
    <w:p w14:paraId="6203AACE" w14:textId="6081D7D7" w:rsidR="00CA0B73" w:rsidRPr="007D2935" w:rsidRDefault="007D2935" w:rsidP="007D2935">
      <w:pPr>
        <w:shd w:val="clear" w:color="auto" w:fill="FFFFFF"/>
        <w:ind w:firstLine="360"/>
        <w:jc w:val="both"/>
        <w:rPr>
          <w:rFonts w:eastAsia="Times New Roman" w:cs="Times New Roman"/>
          <w:b/>
          <w:szCs w:val="28"/>
          <w:lang w:val="en-US"/>
        </w:rPr>
      </w:pPr>
      <w:r>
        <w:rPr>
          <w:rFonts w:eastAsia="Times New Roman" w:cs="Times New Roman"/>
          <w:bCs/>
          <w:szCs w:val="28"/>
          <w:lang w:val="en-US"/>
        </w:rPr>
        <w:t xml:space="preserve">- </w:t>
      </w:r>
      <w:r w:rsidR="00CA0B73" w:rsidRPr="007D2935">
        <w:rPr>
          <w:rFonts w:eastAsia="Times New Roman" w:cs="Times New Roman"/>
          <w:bCs/>
          <w:szCs w:val="28"/>
          <w:lang w:val="en-US"/>
        </w:rPr>
        <w:t>Phụ nữ cho con bú :</w:t>
      </w:r>
      <w:r w:rsidR="004537A6" w:rsidRPr="007D2935">
        <w:rPr>
          <w:rFonts w:eastAsia="Times New Roman" w:cs="Times New Roman"/>
          <w:bCs/>
          <w:szCs w:val="28"/>
          <w:lang w:val="en-US"/>
        </w:rPr>
        <w:t xml:space="preserve">Người mẹ trong thời gian </w:t>
      </w:r>
      <w:r w:rsidR="0031417F" w:rsidRPr="007D2935">
        <w:rPr>
          <w:rFonts w:eastAsia="Times New Roman" w:cs="Times New Roman"/>
          <w:bCs/>
          <w:szCs w:val="28"/>
          <w:lang w:val="en-US"/>
        </w:rPr>
        <w:t>cho con bú</w:t>
      </w:r>
      <w:r w:rsidR="004537A6" w:rsidRPr="007D2935">
        <w:rPr>
          <w:rFonts w:eastAsia="Times New Roman" w:cs="Times New Roman"/>
          <w:bCs/>
          <w:szCs w:val="28"/>
          <w:lang w:val="en-US"/>
        </w:rPr>
        <w:t xml:space="preserve"> và trẻ đều có nhu cầu vitamin B12 do vậy thuốc có thể dùng cho bà mẹ cho con bú</w:t>
      </w:r>
      <w:r w:rsidR="0031417F" w:rsidRPr="007D2935">
        <w:rPr>
          <w:rFonts w:eastAsia="Times New Roman" w:cs="Times New Roman"/>
          <w:bCs/>
          <w:szCs w:val="28"/>
          <w:lang w:val="en-US"/>
        </w:rPr>
        <w:t>, tuy nhiên nên cân nhắc giữa</w:t>
      </w:r>
      <w:r w:rsidR="00B10A16" w:rsidRPr="007D2935">
        <w:rPr>
          <w:rFonts w:eastAsia="Times New Roman" w:cs="Times New Roman"/>
          <w:bCs/>
          <w:szCs w:val="28"/>
          <w:lang w:val="en-US"/>
        </w:rPr>
        <w:t xml:space="preserve"> lợi ích của sữa mẹ và ng</w:t>
      </w:r>
      <w:r w:rsidR="00F51F36" w:rsidRPr="007D2935">
        <w:rPr>
          <w:rFonts w:eastAsia="Times New Roman" w:cs="Times New Roman"/>
          <w:bCs/>
          <w:szCs w:val="28"/>
          <w:lang w:val="en-US"/>
        </w:rPr>
        <w:t>uy</w:t>
      </w:r>
      <w:r w:rsidR="00B10A16" w:rsidRPr="007D2935">
        <w:rPr>
          <w:rFonts w:eastAsia="Times New Roman" w:cs="Times New Roman"/>
          <w:bCs/>
          <w:szCs w:val="28"/>
          <w:lang w:val="en-US"/>
        </w:rPr>
        <w:t xml:space="preserve"> cơ trẻ phơi nhiễm với thuốc và </w:t>
      </w:r>
      <w:r w:rsidR="00F51F36" w:rsidRPr="007D2935">
        <w:rPr>
          <w:rFonts w:eastAsia="Times New Roman" w:cs="Times New Roman"/>
          <w:bCs/>
          <w:szCs w:val="28"/>
          <w:lang w:val="en-US"/>
        </w:rPr>
        <w:t xml:space="preserve">nguy cơ của bệnh nếu không được điều trị </w:t>
      </w:r>
      <w:r w:rsidR="00B05A43" w:rsidRPr="007D2935">
        <w:rPr>
          <w:rFonts w:eastAsia="Times New Roman" w:cs="Times New Roman"/>
          <w:bCs/>
          <w:szCs w:val="28"/>
          <w:lang w:val="en-US"/>
        </w:rPr>
        <w:t>để chị định thuốc cho bà mẹ .</w:t>
      </w:r>
    </w:p>
    <w:p w14:paraId="281D0462" w14:textId="77777777" w:rsidR="004A699A" w:rsidRPr="00D36915" w:rsidRDefault="004A699A" w:rsidP="004A699A">
      <w:pPr>
        <w:pStyle w:val="ListParagraph"/>
        <w:shd w:val="clear" w:color="auto" w:fill="FFFFFF"/>
        <w:jc w:val="both"/>
        <w:rPr>
          <w:rFonts w:eastAsia="Times New Roman" w:cs="Times New Roman"/>
          <w:b/>
          <w:szCs w:val="28"/>
          <w:lang w:val="en-US"/>
        </w:rPr>
      </w:pPr>
    </w:p>
    <w:p w14:paraId="4E65BA6D" w14:textId="4DE30775" w:rsidR="00DE51D6" w:rsidRDefault="00DE51D6" w:rsidP="00DE51D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 w:rsidRPr="00892BCF">
        <w:rPr>
          <w:rFonts w:eastAsia="Times New Roman" w:cs="Times New Roman"/>
          <w:b/>
          <w:bCs/>
          <w:szCs w:val="28"/>
          <w:lang w:val="en-US"/>
        </w:rPr>
        <w:t>Liều dùng:</w:t>
      </w:r>
    </w:p>
    <w:p w14:paraId="63D890AF" w14:textId="5F6005F5" w:rsidR="00A633EA" w:rsidRPr="00A633EA" w:rsidRDefault="00A633EA" w:rsidP="00D16B0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6336E95" w14:textId="378A1773" w:rsidR="00A633EA" w:rsidRDefault="009006D1" w:rsidP="008E261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6D35B5">
        <w:rPr>
          <w:color w:val="000000" w:themeColor="text1"/>
          <w:sz w:val="28"/>
          <w:szCs w:val="28"/>
        </w:rPr>
        <w:t xml:space="preserve">Liều thường dùng cho </w:t>
      </w:r>
      <w:r w:rsidR="00A633EA" w:rsidRPr="00A633EA">
        <w:rPr>
          <w:color w:val="000000" w:themeColor="text1"/>
          <w:sz w:val="28"/>
          <w:szCs w:val="28"/>
        </w:rPr>
        <w:t xml:space="preserve">người lớn: 1 ống </w:t>
      </w:r>
      <w:r w:rsidR="000623A4">
        <w:rPr>
          <w:color w:val="000000" w:themeColor="text1"/>
          <w:sz w:val="28"/>
          <w:szCs w:val="28"/>
        </w:rPr>
        <w:t xml:space="preserve"> tiêm, tương đương với 500 mcg mecobalamin,</w:t>
      </w:r>
      <w:r w:rsidR="00A633EA" w:rsidRPr="00A633EA">
        <w:rPr>
          <w:color w:val="000000" w:themeColor="text1"/>
          <w:sz w:val="28"/>
          <w:szCs w:val="28"/>
        </w:rPr>
        <w:t xml:space="preserve"> </w:t>
      </w:r>
      <w:r w:rsidR="00A633EA">
        <w:rPr>
          <w:color w:val="000000" w:themeColor="text1"/>
          <w:sz w:val="28"/>
          <w:szCs w:val="28"/>
        </w:rPr>
        <w:t>tiêm bắp (</w:t>
      </w:r>
      <w:r w:rsidR="00A633EA" w:rsidRPr="00A633EA">
        <w:rPr>
          <w:color w:val="000000" w:themeColor="text1"/>
          <w:sz w:val="28"/>
          <w:szCs w:val="28"/>
        </w:rPr>
        <w:t>IM</w:t>
      </w:r>
      <w:r w:rsidR="00A633EA">
        <w:rPr>
          <w:color w:val="000000" w:themeColor="text1"/>
          <w:sz w:val="28"/>
          <w:szCs w:val="28"/>
        </w:rPr>
        <w:t xml:space="preserve"> )</w:t>
      </w:r>
      <w:r w:rsidR="00A633EA" w:rsidRPr="00A633EA">
        <w:rPr>
          <w:color w:val="000000" w:themeColor="text1"/>
          <w:sz w:val="28"/>
          <w:szCs w:val="28"/>
        </w:rPr>
        <w:t xml:space="preserve"> hoặc</w:t>
      </w:r>
      <w:r w:rsidR="00A633EA">
        <w:rPr>
          <w:color w:val="000000" w:themeColor="text1"/>
          <w:sz w:val="28"/>
          <w:szCs w:val="28"/>
        </w:rPr>
        <w:t xml:space="preserve"> tiêm tĩnh mạch (</w:t>
      </w:r>
      <w:r w:rsidR="00A633EA" w:rsidRPr="00A633EA">
        <w:rPr>
          <w:color w:val="000000" w:themeColor="text1"/>
          <w:sz w:val="28"/>
          <w:szCs w:val="28"/>
        </w:rPr>
        <w:t xml:space="preserve"> IV</w:t>
      </w:r>
      <w:r w:rsidR="00A633EA">
        <w:rPr>
          <w:color w:val="000000" w:themeColor="text1"/>
          <w:sz w:val="28"/>
          <w:szCs w:val="28"/>
        </w:rPr>
        <w:t>)</w:t>
      </w:r>
      <w:r w:rsidR="00230647">
        <w:rPr>
          <w:color w:val="000000" w:themeColor="text1"/>
          <w:sz w:val="28"/>
          <w:szCs w:val="28"/>
        </w:rPr>
        <w:t xml:space="preserve"> 3 lần một tuần. Liều lượng nên được điều chỉnh tuỳ theo tuổi của bệnh nhân và mức độ nặng nhẹ của triệu chứng.</w:t>
      </w:r>
    </w:p>
    <w:p w14:paraId="1FBFE5BD" w14:textId="0B4C52B0" w:rsidR="009006D1" w:rsidRPr="00A633EA" w:rsidRDefault="009006D1" w:rsidP="008E261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Cách dùng: </w:t>
      </w:r>
      <w:r w:rsidR="00C212A5">
        <w:rPr>
          <w:color w:val="000000" w:themeColor="text1"/>
          <w:sz w:val="28"/>
          <w:szCs w:val="28"/>
        </w:rPr>
        <w:t>Tiêm bắp hoặc tiêm tĩnh mạch</w:t>
      </w:r>
    </w:p>
    <w:p w14:paraId="7E25F7E8" w14:textId="2A9FBC0C" w:rsidR="00A633EA" w:rsidRDefault="00C212A5" w:rsidP="008E261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01725">
        <w:rPr>
          <w:color w:val="000000" w:themeColor="text1"/>
          <w:sz w:val="28"/>
          <w:szCs w:val="28"/>
        </w:rPr>
        <w:t xml:space="preserve">Khi tiêm bắp cần </w:t>
      </w:r>
      <w:r w:rsidR="00E5547D">
        <w:rPr>
          <w:color w:val="000000" w:themeColor="text1"/>
          <w:sz w:val="28"/>
          <w:szCs w:val="28"/>
        </w:rPr>
        <w:t>lưu ý để tránh tổn thương mô và dân thân kinh tại chỗ :</w:t>
      </w:r>
    </w:p>
    <w:p w14:paraId="31A34D85" w14:textId="5CAD320F" w:rsidR="00D16B0E" w:rsidRDefault="00C212A5" w:rsidP="008E261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r w:rsidR="00D16B0E">
        <w:rPr>
          <w:color w:val="000000" w:themeColor="text1"/>
          <w:sz w:val="28"/>
          <w:szCs w:val="28"/>
        </w:rPr>
        <w:t xml:space="preserve">Không nên tiêm nhiều lần vào một vị trí, đặc biệt khi tiêm cho trẻ sơ sinh và trẻ nhỏ </w:t>
      </w:r>
    </w:p>
    <w:p w14:paraId="3843D04B" w14:textId="11EB8B12" w:rsidR="00B6579A" w:rsidRDefault="0063523E" w:rsidP="008E261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r w:rsidR="00B6579A">
        <w:rPr>
          <w:color w:val="000000" w:themeColor="text1"/>
          <w:sz w:val="28"/>
          <w:szCs w:val="28"/>
        </w:rPr>
        <w:t xml:space="preserve">Không nên tiêm trực tiếp vào đường đi của dây thần kinh </w:t>
      </w:r>
    </w:p>
    <w:p w14:paraId="63C5BD86" w14:textId="4AD4814E" w:rsidR="00E5547D" w:rsidRPr="00A633EA" w:rsidRDefault="0063523E" w:rsidP="008E261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+ </w:t>
      </w:r>
      <w:r w:rsidR="00B6579A">
        <w:rPr>
          <w:color w:val="000000" w:themeColor="text1"/>
          <w:sz w:val="28"/>
          <w:szCs w:val="28"/>
        </w:rPr>
        <w:t>Mecobalamin dễ bị ánh sáng phân huỷ</w:t>
      </w:r>
      <w:r w:rsidR="00271725">
        <w:rPr>
          <w:color w:val="000000" w:themeColor="text1"/>
          <w:sz w:val="28"/>
          <w:szCs w:val="28"/>
        </w:rPr>
        <w:t xml:space="preserve">, sau khi mở ống tiêm cần dùng ngay và </w:t>
      </w:r>
      <w:r w:rsidR="00AF5953">
        <w:rPr>
          <w:color w:val="000000" w:themeColor="text1"/>
          <w:sz w:val="28"/>
          <w:szCs w:val="28"/>
        </w:rPr>
        <w:t xml:space="preserve">   </w:t>
      </w:r>
      <w:r w:rsidR="00271725">
        <w:rPr>
          <w:color w:val="000000" w:themeColor="text1"/>
          <w:sz w:val="28"/>
          <w:szCs w:val="28"/>
        </w:rPr>
        <w:t>chú ý không để ánh sáng chiếu trực tiếp vào ống thuốc</w:t>
      </w:r>
      <w:r>
        <w:rPr>
          <w:color w:val="000000" w:themeColor="text1"/>
          <w:sz w:val="28"/>
          <w:szCs w:val="28"/>
        </w:rPr>
        <w:t>.</w:t>
      </w:r>
    </w:p>
    <w:p w14:paraId="19A1E6C0" w14:textId="77777777" w:rsidR="00B05A43" w:rsidRPr="00A633EA" w:rsidRDefault="00B05A43" w:rsidP="00DE51D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color w:val="000000" w:themeColor="text1"/>
          <w:szCs w:val="28"/>
          <w:lang w:val="en-US"/>
        </w:rPr>
      </w:pPr>
    </w:p>
    <w:p w14:paraId="0E5055A3" w14:textId="6B2699CB" w:rsidR="00DE51D6" w:rsidRDefault="00DE51D6" w:rsidP="00DE51D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 w:rsidRPr="00892BCF">
        <w:rPr>
          <w:rFonts w:eastAsia="Times New Roman" w:cs="Times New Roman"/>
          <w:b/>
          <w:bCs/>
          <w:szCs w:val="28"/>
          <w:lang w:val="en-US"/>
        </w:rPr>
        <w:t>Thận Trọng:</w:t>
      </w:r>
    </w:p>
    <w:p w14:paraId="42E6FC3A" w14:textId="0DE7C6BE" w:rsidR="00550C66" w:rsidRPr="00A650B8" w:rsidRDefault="00A650B8" w:rsidP="00A650B8">
      <w:pPr>
        <w:shd w:val="clear" w:color="auto" w:fill="FFFFFF"/>
        <w:spacing w:line="270" w:lineRule="atLeast"/>
        <w:ind w:firstLine="360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AF53A2" w:rsidRPr="00A650B8">
        <w:rPr>
          <w:rFonts w:eastAsia="Times New Roman" w:cs="Times New Roman"/>
          <w:szCs w:val="28"/>
          <w:lang w:val="en-US"/>
        </w:rPr>
        <w:t xml:space="preserve">Không nên dùng thuốc trong thời gian dài </w:t>
      </w:r>
      <w:r w:rsidR="00FE0CC2" w:rsidRPr="00A650B8">
        <w:rPr>
          <w:rFonts w:eastAsia="Times New Roman" w:cs="Times New Roman"/>
          <w:szCs w:val="28"/>
          <w:lang w:val="en-US"/>
        </w:rPr>
        <w:t>nếu không thấy đáp ứng sau thời gian điều trị</w:t>
      </w:r>
      <w:r w:rsidR="002A0ED4" w:rsidRPr="00A650B8">
        <w:rPr>
          <w:rFonts w:eastAsia="Times New Roman" w:cs="Times New Roman"/>
          <w:szCs w:val="28"/>
          <w:lang w:val="en-US"/>
        </w:rPr>
        <w:t xml:space="preserve">. Sau vài tháng bệnh nhân </w:t>
      </w:r>
      <w:r w:rsidR="00A51B27" w:rsidRPr="00A650B8">
        <w:rPr>
          <w:rFonts w:eastAsia="Times New Roman" w:cs="Times New Roman"/>
          <w:szCs w:val="28"/>
          <w:lang w:val="en-US"/>
        </w:rPr>
        <w:t>không thuyên giảm thì ngưng sử dụng thuốc để đánh giá lại tình trạng của bệnh nhân.</w:t>
      </w:r>
    </w:p>
    <w:p w14:paraId="4DE5DD53" w14:textId="4A92070E" w:rsidR="00A650B8" w:rsidRPr="008053A0" w:rsidRDefault="00A650B8" w:rsidP="008053A0">
      <w:pPr>
        <w:shd w:val="clear" w:color="auto" w:fill="FFFFFF"/>
        <w:spacing w:line="270" w:lineRule="atLeast"/>
        <w:ind w:firstLine="360"/>
        <w:jc w:val="both"/>
        <w:outlineLvl w:val="2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291062" w:rsidRPr="00A650B8">
        <w:rPr>
          <w:rFonts w:eastAsia="Times New Roman" w:cs="Times New Roman"/>
          <w:szCs w:val="28"/>
          <w:lang w:val="en-US"/>
        </w:rPr>
        <w:t xml:space="preserve">Không nên sử dụng mecobalamin cho bệnh nhân bị teo đầu dây thần kinh thị giác di truyền </w:t>
      </w:r>
    </w:p>
    <w:p w14:paraId="7DFACE5C" w14:textId="6898DB9C" w:rsidR="00727FA5" w:rsidRPr="008053A0" w:rsidRDefault="008053A0" w:rsidP="008053A0">
      <w:pPr>
        <w:shd w:val="clear" w:color="auto" w:fill="FFFFFF"/>
        <w:spacing w:line="270" w:lineRule="atLeast"/>
        <w:ind w:firstLine="360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EF27DD" w:rsidRPr="008053A0">
        <w:rPr>
          <w:rFonts w:eastAsia="Times New Roman" w:cs="Times New Roman"/>
          <w:szCs w:val="28"/>
          <w:lang w:val="en-US"/>
        </w:rPr>
        <w:t xml:space="preserve">Một </w:t>
      </w:r>
      <w:r w:rsidR="00EA48B7" w:rsidRPr="008053A0">
        <w:rPr>
          <w:rFonts w:eastAsia="Times New Roman" w:cs="Times New Roman"/>
          <w:szCs w:val="28"/>
          <w:lang w:val="en-US"/>
        </w:rPr>
        <w:t xml:space="preserve">số tình trạng bệnh có thể hạn chế hoặc cản trở đáp ứng của bệnh nhân với liệu pháp </w:t>
      </w:r>
      <w:r w:rsidR="00666F07" w:rsidRPr="008053A0">
        <w:rPr>
          <w:rFonts w:eastAsia="Times New Roman" w:cs="Times New Roman"/>
          <w:szCs w:val="28"/>
          <w:lang w:val="en-US"/>
        </w:rPr>
        <w:t xml:space="preserve">mecobalamin như, nhiễm khuẩn nặng, nhiễm khuẩn đường niệu hoặc suy thận , thuốc ức chế tuỷ xương </w:t>
      </w:r>
      <w:r w:rsidR="00B447D0" w:rsidRPr="008053A0">
        <w:rPr>
          <w:rFonts w:eastAsia="Times New Roman" w:cs="Times New Roman"/>
          <w:szCs w:val="28"/>
          <w:lang w:val="en-US"/>
        </w:rPr>
        <w:t>hoặc thiếu máu do thiếu acid folic hay thiếu sắt không được chẩn đoán kịp thời</w:t>
      </w:r>
      <w:r w:rsidRPr="008053A0">
        <w:rPr>
          <w:rFonts w:eastAsia="Times New Roman" w:cs="Times New Roman"/>
          <w:szCs w:val="28"/>
          <w:lang w:val="en-US"/>
        </w:rPr>
        <w:t>.</w:t>
      </w:r>
    </w:p>
    <w:p w14:paraId="68EA5131" w14:textId="01711A31" w:rsidR="00DE51D6" w:rsidRDefault="008053A0" w:rsidP="008053A0">
      <w:pPr>
        <w:shd w:val="clear" w:color="auto" w:fill="FFFFFF"/>
        <w:spacing w:line="270" w:lineRule="atLeast"/>
        <w:ind w:firstLine="360"/>
        <w:jc w:val="both"/>
        <w:outlineLvl w:val="2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913FDA" w:rsidRPr="008053A0">
        <w:rPr>
          <w:rFonts w:eastAsia="Times New Roman" w:cs="Times New Roman"/>
          <w:szCs w:val="28"/>
          <w:lang w:val="en-US"/>
        </w:rPr>
        <w:t xml:space="preserve">Bệnh nhân thiếu hụt vitamin B12 đồng thời mắc các bệnh ở gan và ở thận , có thể phải tăng liều </w:t>
      </w:r>
      <w:r w:rsidR="00D82102" w:rsidRPr="008053A0">
        <w:rPr>
          <w:rFonts w:eastAsia="Times New Roman" w:cs="Times New Roman"/>
          <w:szCs w:val="28"/>
          <w:lang w:val="en-US"/>
        </w:rPr>
        <w:t>mecobalamin hoặc số làn dùng thuốc</w:t>
      </w:r>
      <w:r>
        <w:rPr>
          <w:rFonts w:eastAsia="Times New Roman" w:cs="Times New Roman"/>
          <w:szCs w:val="28"/>
          <w:lang w:val="en-US"/>
        </w:rPr>
        <w:t>.</w:t>
      </w:r>
    </w:p>
    <w:p w14:paraId="70E476C7" w14:textId="6649A3AE" w:rsidR="008053A0" w:rsidRPr="008053A0" w:rsidRDefault="008053A0" w:rsidP="008053A0">
      <w:pPr>
        <w:shd w:val="clear" w:color="auto" w:fill="FFFFFF"/>
        <w:spacing w:line="270" w:lineRule="atLeast"/>
        <w:ind w:firstLine="360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Chưa rõ mức độ </w:t>
      </w:r>
      <w:r w:rsidR="00A21218">
        <w:rPr>
          <w:rFonts w:eastAsia="Times New Roman" w:cs="Times New Roman"/>
          <w:szCs w:val="28"/>
          <w:lang w:val="en-US"/>
        </w:rPr>
        <w:t xml:space="preserve">đáp ứng khác nhau giữa các bệnh nhân lớn tuổi </w:t>
      </w:r>
      <w:r w:rsidR="004F52D1">
        <w:rPr>
          <w:rFonts w:eastAsia="Times New Roman" w:cs="Times New Roman"/>
          <w:szCs w:val="28"/>
          <w:lang w:val="en-US"/>
        </w:rPr>
        <w:t>và trẻ hơn. Nói chung thận trọng khi chọn liều cao cho bệnh nhân lớn tuổi</w:t>
      </w:r>
      <w:r w:rsidR="002B07DF">
        <w:rPr>
          <w:rFonts w:eastAsia="Times New Roman" w:cs="Times New Roman"/>
          <w:szCs w:val="28"/>
          <w:lang w:val="en-US"/>
        </w:rPr>
        <w:t>. Bệnh nhân cao tuổi thường dễ suy giảm chức năng gan, thận, tim</w:t>
      </w:r>
      <w:r w:rsidR="00C9634F">
        <w:rPr>
          <w:rFonts w:eastAsia="Times New Roman" w:cs="Times New Roman"/>
          <w:szCs w:val="28"/>
          <w:lang w:val="en-US"/>
        </w:rPr>
        <w:t xml:space="preserve"> hoặc dễ mắc các bệnh đồng thời hoặc đang dùng thuốc khác. Nên khởi đầu điều trị với mức liều thấp của liều khuyến cáo.</w:t>
      </w:r>
    </w:p>
    <w:p w14:paraId="0039C2E9" w14:textId="3B7564DC" w:rsidR="00DE51D6" w:rsidRDefault="00DE51D6" w:rsidP="00DE51D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 w:rsidRPr="00892BCF">
        <w:rPr>
          <w:rFonts w:eastAsia="Times New Roman" w:cs="Times New Roman"/>
          <w:b/>
          <w:bCs/>
          <w:szCs w:val="28"/>
          <w:lang w:val="en-US"/>
        </w:rPr>
        <w:t>Tương tác thuốc:</w:t>
      </w:r>
    </w:p>
    <w:p w14:paraId="11A99F9A" w14:textId="44D322D8" w:rsidR="00231C5E" w:rsidRPr="00231C5E" w:rsidRDefault="00E82028" w:rsidP="00E82028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vi-VN"/>
        </w:rPr>
      </w:pPr>
      <w:r>
        <w:rPr>
          <w:rFonts w:eastAsia="Times New Roman" w:cs="Times New Roman"/>
          <w:color w:val="000000" w:themeColor="text1"/>
          <w:szCs w:val="28"/>
          <w:lang w:val="en-US" w:eastAsia="vi-VN"/>
        </w:rPr>
        <w:t xml:space="preserve">- </w:t>
      </w:r>
      <w:r w:rsidR="00231C5E" w:rsidRPr="00231C5E">
        <w:rPr>
          <w:rFonts w:eastAsia="Times New Roman" w:cs="Times New Roman"/>
          <w:color w:val="000000" w:themeColor="text1"/>
          <w:szCs w:val="28"/>
          <w:lang w:eastAsia="vi-VN"/>
        </w:rPr>
        <w:t>Sự hấp thu của mecobalamin bị ảnh hưởng bởi rượu, sự suy giảm vitamin B6 (pyridoxin), cholestyramin, acid para-aminosalicylic, colchicin,</w:t>
      </w:r>
      <w:r w:rsidR="00886274">
        <w:rPr>
          <w:rFonts w:eastAsia="Times New Roman" w:cs="Times New Roman"/>
          <w:color w:val="000000" w:themeColor="text1"/>
          <w:szCs w:val="28"/>
          <w:lang w:val="en-US" w:eastAsia="vi-VN"/>
        </w:rPr>
        <w:t xml:space="preserve"> octreotide ..</w:t>
      </w:r>
    </w:p>
    <w:p w14:paraId="21AB2DC8" w14:textId="4635B0D5" w:rsidR="00D82102" w:rsidRDefault="00E82028" w:rsidP="00E82028">
      <w:pPr>
        <w:shd w:val="clear" w:color="auto" w:fill="FFFFFF"/>
        <w:spacing w:before="100" w:beforeAutospacing="1" w:after="100" w:afterAutospacing="1" w:line="270" w:lineRule="atLeast"/>
        <w:ind w:firstLine="360"/>
        <w:jc w:val="both"/>
        <w:outlineLvl w:val="2"/>
        <w:rPr>
          <w:rFonts w:eastAsia="Times New Roman" w:cs="Times New Roman"/>
          <w:color w:val="000000" w:themeColor="text1"/>
          <w:szCs w:val="28"/>
          <w:lang w:val="en-US" w:eastAsia="vi-VN"/>
        </w:rPr>
      </w:pPr>
      <w:r>
        <w:rPr>
          <w:rFonts w:eastAsia="Times New Roman" w:cs="Times New Roman"/>
          <w:color w:val="000000" w:themeColor="text1"/>
          <w:szCs w:val="28"/>
          <w:lang w:val="en-US" w:eastAsia="vi-VN"/>
        </w:rPr>
        <w:t xml:space="preserve">- </w:t>
      </w:r>
      <w:r w:rsidR="00231C5E" w:rsidRPr="006800AF">
        <w:rPr>
          <w:rFonts w:eastAsia="Times New Roman" w:cs="Times New Roman"/>
          <w:color w:val="000000" w:themeColor="text1"/>
          <w:szCs w:val="28"/>
          <w:lang w:val="en-US" w:eastAsia="vi-VN"/>
        </w:rPr>
        <w:t xml:space="preserve">Cloramphenicol có thể đối kháng </w:t>
      </w:r>
      <w:r w:rsidR="004C7506" w:rsidRPr="006800AF">
        <w:rPr>
          <w:rFonts w:eastAsia="Times New Roman" w:cs="Times New Roman"/>
          <w:color w:val="000000" w:themeColor="text1"/>
          <w:szCs w:val="28"/>
          <w:lang w:val="en-US" w:eastAsia="vi-VN"/>
        </w:rPr>
        <w:t>tác dụng của mecobalamin và vitamin B12 do cản trở hồng cầu trưởng thành</w:t>
      </w:r>
      <w:r w:rsidR="006A4A55">
        <w:rPr>
          <w:rFonts w:eastAsia="Times New Roman" w:cs="Times New Roman"/>
          <w:color w:val="000000" w:themeColor="text1"/>
          <w:szCs w:val="28"/>
          <w:lang w:val="en-US" w:eastAsia="vi-VN"/>
        </w:rPr>
        <w:t>.</w:t>
      </w:r>
    </w:p>
    <w:p w14:paraId="2FF09693" w14:textId="1300C4E5" w:rsidR="006A4A55" w:rsidRPr="006800AF" w:rsidRDefault="006A4A55" w:rsidP="00E82028">
      <w:pPr>
        <w:shd w:val="clear" w:color="auto" w:fill="FFFFFF"/>
        <w:spacing w:before="100" w:beforeAutospacing="1" w:after="100" w:afterAutospacing="1" w:line="270" w:lineRule="atLeast"/>
        <w:ind w:firstLine="360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color w:val="000000" w:themeColor="text1"/>
          <w:szCs w:val="28"/>
          <w:lang w:val="en-US" w:eastAsia="vi-VN"/>
        </w:rPr>
        <w:t>- Sử dụng các thuốc chống nhiễm khuẩn hoặc pyrimethamin  có thể làm nhiễu các xxét nghiệm chẩn đoán acid folic và vitamin B12.</w:t>
      </w:r>
    </w:p>
    <w:p w14:paraId="1AAD62B9" w14:textId="440970BF" w:rsidR="00DE51D6" w:rsidRDefault="00DE51D6" w:rsidP="00DE51D6">
      <w:pPr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 w:rsidRPr="00892BCF">
        <w:rPr>
          <w:rFonts w:eastAsia="Times New Roman" w:cs="Times New Roman"/>
          <w:b/>
          <w:bCs/>
          <w:szCs w:val="28"/>
          <w:lang w:val="en-US"/>
        </w:rPr>
        <w:t xml:space="preserve">Tác dụng </w:t>
      </w:r>
      <w:r w:rsidR="0060204E">
        <w:rPr>
          <w:rFonts w:eastAsia="Times New Roman" w:cs="Times New Roman"/>
          <w:b/>
          <w:bCs/>
          <w:szCs w:val="28"/>
          <w:lang w:val="en-US"/>
        </w:rPr>
        <w:t>phụ</w:t>
      </w:r>
      <w:r w:rsidRPr="00892BCF">
        <w:rPr>
          <w:rFonts w:eastAsia="Times New Roman" w:cs="Times New Roman"/>
          <w:b/>
          <w:bCs/>
          <w:szCs w:val="28"/>
          <w:lang w:val="en-US"/>
        </w:rPr>
        <w:t>:</w:t>
      </w:r>
    </w:p>
    <w:p w14:paraId="39371778" w14:textId="22C51D33" w:rsidR="00D30CF2" w:rsidRDefault="0000110E" w:rsidP="0000110E">
      <w:pPr>
        <w:shd w:val="clear" w:color="auto" w:fill="FFFFFF"/>
        <w:spacing w:line="270" w:lineRule="atLeast"/>
        <w:ind w:firstLine="720"/>
        <w:jc w:val="both"/>
        <w:outlineLvl w:val="2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</w:t>
      </w:r>
      <w:r w:rsidR="000B7CC4" w:rsidRPr="0000110E">
        <w:rPr>
          <w:rFonts w:eastAsia="Times New Roman" w:cs="Times New Roman"/>
          <w:szCs w:val="28"/>
          <w:lang w:val="en-US"/>
        </w:rPr>
        <w:t xml:space="preserve">Mecobalamin thường được dung nạp tốt ngay với liều lượng lớn </w:t>
      </w:r>
      <w:r w:rsidR="006D72F5" w:rsidRPr="0000110E">
        <w:rPr>
          <w:rFonts w:eastAsia="Times New Roman" w:cs="Times New Roman"/>
          <w:szCs w:val="28"/>
          <w:lang w:val="en-US"/>
        </w:rPr>
        <w:t xml:space="preserve">và ít xảy ra các phản ứng bất lợi .Tuy nhiên một vài phản ứng xảy ra khi dùng đường tiêm hiếm gặp như : </w:t>
      </w:r>
      <w:r w:rsidR="007D6407" w:rsidRPr="0000110E">
        <w:rPr>
          <w:rFonts w:eastAsia="Times New Roman" w:cs="Times New Roman"/>
          <w:szCs w:val="28"/>
          <w:lang w:val="en-US"/>
        </w:rPr>
        <w:t xml:space="preserve">quá mẫn , sốc phản vệ và ít gặp như </w:t>
      </w:r>
      <w:r w:rsidR="00B24AA8" w:rsidRPr="0000110E">
        <w:rPr>
          <w:rFonts w:eastAsia="Times New Roman" w:cs="Times New Roman"/>
          <w:szCs w:val="28"/>
          <w:lang w:val="en-US"/>
        </w:rPr>
        <w:t>đau và chai cứng chỗ tiêm bắp đã được báo cáo</w:t>
      </w:r>
      <w:r>
        <w:rPr>
          <w:rFonts w:eastAsia="Times New Roman" w:cs="Times New Roman"/>
          <w:szCs w:val="28"/>
          <w:lang w:val="en-US"/>
        </w:rPr>
        <w:t>.</w:t>
      </w:r>
    </w:p>
    <w:p w14:paraId="716ABE75" w14:textId="74170C84" w:rsidR="0000110E" w:rsidRDefault="0000110E" w:rsidP="0000110E">
      <w:pPr>
        <w:shd w:val="clear" w:color="auto" w:fill="FFFFFF"/>
        <w:spacing w:line="270" w:lineRule="atLeast"/>
        <w:ind w:firstLine="720"/>
        <w:jc w:val="both"/>
        <w:outlineLvl w:val="2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- Ngoài ra, một số phản ứng bất lợi </w:t>
      </w:r>
      <w:r w:rsidR="00BE430B">
        <w:rPr>
          <w:rFonts w:eastAsia="Times New Roman" w:cs="Times New Roman"/>
          <w:szCs w:val="28"/>
          <w:lang w:val="en-US"/>
        </w:rPr>
        <w:t>đã được báo cáo khi dùng mecobalamin nhưng chưa rõ tần suất như</w:t>
      </w:r>
      <w:r w:rsidR="001101F5">
        <w:rPr>
          <w:rFonts w:eastAsia="Times New Roman" w:cs="Times New Roman"/>
          <w:szCs w:val="28"/>
          <w:lang w:val="en-US"/>
        </w:rPr>
        <w:t xml:space="preserve"> đau đầu, tiêu chảy nhẹ, mất điều hoà, lo âu, bồn chồn ngứa</w:t>
      </w:r>
      <w:r w:rsidR="006F4E15">
        <w:rPr>
          <w:rFonts w:eastAsia="Times New Roman" w:cs="Times New Roman"/>
          <w:szCs w:val="28"/>
          <w:lang w:val="en-US"/>
        </w:rPr>
        <w:t>, phát ban thoáng qua.</w:t>
      </w:r>
    </w:p>
    <w:p w14:paraId="6D93916D" w14:textId="2FFBEFD2" w:rsidR="009A16BD" w:rsidRPr="0000110E" w:rsidRDefault="009A16BD" w:rsidP="0000110E">
      <w:pPr>
        <w:shd w:val="clear" w:color="auto" w:fill="FFFFFF"/>
        <w:spacing w:line="270" w:lineRule="atLeast"/>
        <w:ind w:firstLine="720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- Đa hồng cầu nguyên phát cũng đã được báo cáo khi dùng mecobalamin</w:t>
      </w:r>
      <w:r w:rsidR="004221AA">
        <w:rPr>
          <w:rFonts w:eastAsia="Times New Roman" w:cs="Times New Roman"/>
          <w:szCs w:val="28"/>
          <w:lang w:val="en-US"/>
        </w:rPr>
        <w:t xml:space="preserve"> đường tiêm.</w:t>
      </w:r>
    </w:p>
    <w:p w14:paraId="4B134B05" w14:textId="30DDE9A5" w:rsidR="00B24AA8" w:rsidRPr="000B7CC4" w:rsidRDefault="00B24AA8" w:rsidP="00B24AA8">
      <w:pPr>
        <w:pStyle w:val="ListParagraph"/>
        <w:shd w:val="clear" w:color="auto" w:fill="FFFFFF"/>
        <w:spacing w:line="270" w:lineRule="atLeast"/>
        <w:jc w:val="both"/>
        <w:outlineLvl w:val="2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 xml:space="preserve">Chú ý : </w:t>
      </w:r>
      <w:r w:rsidR="00F30881">
        <w:rPr>
          <w:rFonts w:eastAsia="Times New Roman" w:cs="Times New Roman"/>
          <w:szCs w:val="28"/>
          <w:lang w:val="en-US"/>
        </w:rPr>
        <w:t>Thông báo ngay cho bác sĩ những tác dụng không mong muốn gặp phải khi dùng thuốc .</w:t>
      </w:r>
    </w:p>
    <w:p w14:paraId="63778B8F" w14:textId="0A111753" w:rsidR="001E7C7F" w:rsidRDefault="001E7C7F" w:rsidP="00DE51D6">
      <w:pPr>
        <w:spacing w:before="240" w:line="360" w:lineRule="auto"/>
        <w:rPr>
          <w:lang w:val="en-US"/>
        </w:rPr>
      </w:pPr>
      <w:r w:rsidRPr="001E7C7F">
        <w:rPr>
          <w:b/>
          <w:u w:val="single"/>
          <w:lang w:val="en-US"/>
        </w:rPr>
        <w:t>Đơn giá</w:t>
      </w:r>
      <w:r w:rsidRPr="00F96742">
        <w:rPr>
          <w:b/>
          <w:lang w:val="en-US"/>
        </w:rPr>
        <w:t>:</w:t>
      </w:r>
      <w:r w:rsidR="00F1329F" w:rsidRPr="00F96742">
        <w:rPr>
          <w:b/>
          <w:lang w:val="en-US"/>
        </w:rPr>
        <w:t xml:space="preserve"> </w:t>
      </w:r>
      <w:r w:rsidR="00783B94">
        <w:rPr>
          <w:b/>
          <w:lang w:val="en-US"/>
        </w:rPr>
        <w:t>25.000</w:t>
      </w:r>
      <w:r w:rsidR="00F1329F">
        <w:rPr>
          <w:b/>
          <w:lang w:val="en-US"/>
        </w:rPr>
        <w:t xml:space="preserve"> </w:t>
      </w:r>
      <w:r>
        <w:rPr>
          <w:lang w:val="en-US"/>
        </w:rPr>
        <w:t xml:space="preserve">đồng/ </w:t>
      </w:r>
      <w:r w:rsidR="00892BCF">
        <w:rPr>
          <w:lang w:val="en-US"/>
        </w:rPr>
        <w:t>ống</w:t>
      </w:r>
      <w:r>
        <w:rPr>
          <w:lang w:val="en-US"/>
        </w:rPr>
        <w:t>.</w:t>
      </w:r>
    </w:p>
    <w:p w14:paraId="7C31E954" w14:textId="778BDDAE" w:rsidR="001E7C7F" w:rsidRPr="00381407" w:rsidRDefault="00766048" w:rsidP="001E7C7F">
      <w:pPr>
        <w:jc w:val="center"/>
        <w:rPr>
          <w:b/>
        </w:rPr>
      </w:pPr>
      <w:r>
        <w:rPr>
          <w:b/>
          <w:lang w:val="en-US"/>
        </w:rPr>
        <w:t xml:space="preserve">                                                       </w:t>
      </w:r>
      <w:r w:rsidR="001E7C7F" w:rsidRPr="001E7C7F">
        <w:rPr>
          <w:b/>
          <w:lang w:val="en-US"/>
        </w:rPr>
        <w:t>DS</w:t>
      </w:r>
      <w:r w:rsidR="00A70BC2">
        <w:rPr>
          <w:b/>
          <w:lang w:val="en-US"/>
        </w:rPr>
        <w:t xml:space="preserve">. Nguyễn Thị Hường </w:t>
      </w:r>
    </w:p>
    <w:sectPr w:rsidR="001E7C7F" w:rsidRPr="00381407" w:rsidSect="00EE2304"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677"/>
    <w:multiLevelType w:val="multilevel"/>
    <w:tmpl w:val="8674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87614"/>
    <w:multiLevelType w:val="multilevel"/>
    <w:tmpl w:val="5CF0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119C3"/>
    <w:multiLevelType w:val="multilevel"/>
    <w:tmpl w:val="2A20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97DE7"/>
    <w:multiLevelType w:val="multilevel"/>
    <w:tmpl w:val="9DAE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4C2907"/>
    <w:multiLevelType w:val="multilevel"/>
    <w:tmpl w:val="4B36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5723A7"/>
    <w:multiLevelType w:val="multilevel"/>
    <w:tmpl w:val="FC00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97588"/>
    <w:multiLevelType w:val="multilevel"/>
    <w:tmpl w:val="8DB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AD2A52"/>
    <w:multiLevelType w:val="multilevel"/>
    <w:tmpl w:val="A070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634999"/>
    <w:multiLevelType w:val="multilevel"/>
    <w:tmpl w:val="4912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F06DBC"/>
    <w:multiLevelType w:val="multilevel"/>
    <w:tmpl w:val="167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716305"/>
    <w:multiLevelType w:val="multilevel"/>
    <w:tmpl w:val="0312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78413A"/>
    <w:multiLevelType w:val="hybridMultilevel"/>
    <w:tmpl w:val="80361C76"/>
    <w:lvl w:ilvl="0" w:tplc="424E2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E1B67"/>
    <w:multiLevelType w:val="multilevel"/>
    <w:tmpl w:val="F810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F978C0"/>
    <w:multiLevelType w:val="multilevel"/>
    <w:tmpl w:val="49FA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347501"/>
    <w:multiLevelType w:val="multilevel"/>
    <w:tmpl w:val="117C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F64BD4"/>
    <w:multiLevelType w:val="hybridMultilevel"/>
    <w:tmpl w:val="1312E484"/>
    <w:lvl w:ilvl="0" w:tplc="6D086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45BEE"/>
    <w:multiLevelType w:val="multilevel"/>
    <w:tmpl w:val="E3DE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61C2B"/>
    <w:multiLevelType w:val="multilevel"/>
    <w:tmpl w:val="BF7E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CF74A8"/>
    <w:multiLevelType w:val="multilevel"/>
    <w:tmpl w:val="303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3B32B1"/>
    <w:multiLevelType w:val="multilevel"/>
    <w:tmpl w:val="DC1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7423A8"/>
    <w:multiLevelType w:val="multilevel"/>
    <w:tmpl w:val="1E94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D202B7"/>
    <w:multiLevelType w:val="multilevel"/>
    <w:tmpl w:val="9990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0A20B8"/>
    <w:multiLevelType w:val="multilevel"/>
    <w:tmpl w:val="B238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1969627">
    <w:abstractNumId w:val="11"/>
  </w:num>
  <w:num w:numId="2" w16cid:durableId="1572809506">
    <w:abstractNumId w:val="16"/>
  </w:num>
  <w:num w:numId="3" w16cid:durableId="1736734953">
    <w:abstractNumId w:val="2"/>
  </w:num>
  <w:num w:numId="4" w16cid:durableId="2139107603">
    <w:abstractNumId w:val="13"/>
  </w:num>
  <w:num w:numId="5" w16cid:durableId="282270585">
    <w:abstractNumId w:val="12"/>
  </w:num>
  <w:num w:numId="6" w16cid:durableId="122190628">
    <w:abstractNumId w:val="20"/>
  </w:num>
  <w:num w:numId="7" w16cid:durableId="134184092">
    <w:abstractNumId w:val="22"/>
  </w:num>
  <w:num w:numId="8" w16cid:durableId="1613054914">
    <w:abstractNumId w:val="21"/>
  </w:num>
  <w:num w:numId="9" w16cid:durableId="1378117076">
    <w:abstractNumId w:val="10"/>
  </w:num>
  <w:num w:numId="10" w16cid:durableId="665131707">
    <w:abstractNumId w:val="0"/>
  </w:num>
  <w:num w:numId="11" w16cid:durableId="834687255">
    <w:abstractNumId w:val="17"/>
  </w:num>
  <w:num w:numId="12" w16cid:durableId="1728144034">
    <w:abstractNumId w:val="1"/>
  </w:num>
  <w:num w:numId="13" w16cid:durableId="186800725">
    <w:abstractNumId w:val="18"/>
  </w:num>
  <w:num w:numId="14" w16cid:durableId="608239850">
    <w:abstractNumId w:val="8"/>
  </w:num>
  <w:num w:numId="15" w16cid:durableId="1298758627">
    <w:abstractNumId w:val="7"/>
  </w:num>
  <w:num w:numId="16" w16cid:durableId="1604458217">
    <w:abstractNumId w:val="9"/>
  </w:num>
  <w:num w:numId="17" w16cid:durableId="623118293">
    <w:abstractNumId w:val="14"/>
  </w:num>
  <w:num w:numId="18" w16cid:durableId="1389764905">
    <w:abstractNumId w:val="3"/>
  </w:num>
  <w:num w:numId="19" w16cid:durableId="1518152255">
    <w:abstractNumId w:val="19"/>
  </w:num>
  <w:num w:numId="20" w16cid:durableId="110788446">
    <w:abstractNumId w:val="4"/>
  </w:num>
  <w:num w:numId="21" w16cid:durableId="821581377">
    <w:abstractNumId w:val="15"/>
  </w:num>
  <w:num w:numId="22" w16cid:durableId="523329703">
    <w:abstractNumId w:val="6"/>
  </w:num>
  <w:num w:numId="23" w16cid:durableId="559219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C"/>
    <w:rsid w:val="0000110E"/>
    <w:rsid w:val="00010962"/>
    <w:rsid w:val="000123CC"/>
    <w:rsid w:val="0001704A"/>
    <w:rsid w:val="00036A86"/>
    <w:rsid w:val="00050AF0"/>
    <w:rsid w:val="0005325E"/>
    <w:rsid w:val="000608C7"/>
    <w:rsid w:val="000623A4"/>
    <w:rsid w:val="00066D01"/>
    <w:rsid w:val="000732BA"/>
    <w:rsid w:val="000802ED"/>
    <w:rsid w:val="00084A4E"/>
    <w:rsid w:val="000A0F2D"/>
    <w:rsid w:val="000A1A31"/>
    <w:rsid w:val="000B0242"/>
    <w:rsid w:val="000B37C2"/>
    <w:rsid w:val="000B7CC4"/>
    <w:rsid w:val="000F5068"/>
    <w:rsid w:val="00107043"/>
    <w:rsid w:val="001101F5"/>
    <w:rsid w:val="00111429"/>
    <w:rsid w:val="00142B53"/>
    <w:rsid w:val="00190427"/>
    <w:rsid w:val="001A5CAD"/>
    <w:rsid w:val="001B18E4"/>
    <w:rsid w:val="001B7E4C"/>
    <w:rsid w:val="001D3043"/>
    <w:rsid w:val="001D7246"/>
    <w:rsid w:val="001E4122"/>
    <w:rsid w:val="001E5327"/>
    <w:rsid w:val="001E7C7F"/>
    <w:rsid w:val="001F51F8"/>
    <w:rsid w:val="00202BD2"/>
    <w:rsid w:val="00230647"/>
    <w:rsid w:val="00231C5E"/>
    <w:rsid w:val="002428FE"/>
    <w:rsid w:val="00243FC4"/>
    <w:rsid w:val="00253185"/>
    <w:rsid w:val="00267E71"/>
    <w:rsid w:val="00271725"/>
    <w:rsid w:val="00271C9D"/>
    <w:rsid w:val="002754A5"/>
    <w:rsid w:val="00291062"/>
    <w:rsid w:val="002A0ED4"/>
    <w:rsid w:val="002B07DF"/>
    <w:rsid w:val="002B0C9F"/>
    <w:rsid w:val="002B3BA1"/>
    <w:rsid w:val="002C15CB"/>
    <w:rsid w:val="002D1E5B"/>
    <w:rsid w:val="003026A5"/>
    <w:rsid w:val="00307CEB"/>
    <w:rsid w:val="0031198C"/>
    <w:rsid w:val="0031417F"/>
    <w:rsid w:val="0032490E"/>
    <w:rsid w:val="003415DF"/>
    <w:rsid w:val="00345C42"/>
    <w:rsid w:val="0036657C"/>
    <w:rsid w:val="00381407"/>
    <w:rsid w:val="003B0493"/>
    <w:rsid w:val="003B1985"/>
    <w:rsid w:val="003C0B75"/>
    <w:rsid w:val="003C737C"/>
    <w:rsid w:val="003D1C8A"/>
    <w:rsid w:val="003D4613"/>
    <w:rsid w:val="003D5EE3"/>
    <w:rsid w:val="003D6928"/>
    <w:rsid w:val="003D6E17"/>
    <w:rsid w:val="003E3AC1"/>
    <w:rsid w:val="003E57C5"/>
    <w:rsid w:val="003F273B"/>
    <w:rsid w:val="00404563"/>
    <w:rsid w:val="00406EFE"/>
    <w:rsid w:val="004143C8"/>
    <w:rsid w:val="0041452E"/>
    <w:rsid w:val="004177CB"/>
    <w:rsid w:val="004221AA"/>
    <w:rsid w:val="00434B8E"/>
    <w:rsid w:val="004422A6"/>
    <w:rsid w:val="004537A6"/>
    <w:rsid w:val="00467B85"/>
    <w:rsid w:val="004713D3"/>
    <w:rsid w:val="00472433"/>
    <w:rsid w:val="00481B96"/>
    <w:rsid w:val="00483E57"/>
    <w:rsid w:val="00497B4E"/>
    <w:rsid w:val="004A2728"/>
    <w:rsid w:val="004A699A"/>
    <w:rsid w:val="004A7162"/>
    <w:rsid w:val="004A77A1"/>
    <w:rsid w:val="004C0A44"/>
    <w:rsid w:val="004C22C2"/>
    <w:rsid w:val="004C7506"/>
    <w:rsid w:val="004F52D1"/>
    <w:rsid w:val="004F5CB8"/>
    <w:rsid w:val="005069E7"/>
    <w:rsid w:val="005150E6"/>
    <w:rsid w:val="00533776"/>
    <w:rsid w:val="0054538F"/>
    <w:rsid w:val="00550C66"/>
    <w:rsid w:val="00594F91"/>
    <w:rsid w:val="005B2C13"/>
    <w:rsid w:val="005C5912"/>
    <w:rsid w:val="005D283B"/>
    <w:rsid w:val="005D4695"/>
    <w:rsid w:val="005F4843"/>
    <w:rsid w:val="00601556"/>
    <w:rsid w:val="0060204E"/>
    <w:rsid w:val="0060596A"/>
    <w:rsid w:val="0063523E"/>
    <w:rsid w:val="0066269A"/>
    <w:rsid w:val="00666F07"/>
    <w:rsid w:val="006704EE"/>
    <w:rsid w:val="006800AF"/>
    <w:rsid w:val="006A4A55"/>
    <w:rsid w:val="006C5C99"/>
    <w:rsid w:val="006D04E2"/>
    <w:rsid w:val="006D2323"/>
    <w:rsid w:val="006D267A"/>
    <w:rsid w:val="006D35B5"/>
    <w:rsid w:val="006D72F5"/>
    <w:rsid w:val="006E73C5"/>
    <w:rsid w:val="006F4E15"/>
    <w:rsid w:val="00706EFB"/>
    <w:rsid w:val="00727FA5"/>
    <w:rsid w:val="00747039"/>
    <w:rsid w:val="00766048"/>
    <w:rsid w:val="00783B94"/>
    <w:rsid w:val="007A4283"/>
    <w:rsid w:val="007B02F4"/>
    <w:rsid w:val="007B10D5"/>
    <w:rsid w:val="007C599D"/>
    <w:rsid w:val="007C5C45"/>
    <w:rsid w:val="007D1253"/>
    <w:rsid w:val="007D2935"/>
    <w:rsid w:val="007D6407"/>
    <w:rsid w:val="008053A0"/>
    <w:rsid w:val="008243A7"/>
    <w:rsid w:val="0083004A"/>
    <w:rsid w:val="00846AB4"/>
    <w:rsid w:val="00886274"/>
    <w:rsid w:val="00886A0B"/>
    <w:rsid w:val="00892BCF"/>
    <w:rsid w:val="008A2B6B"/>
    <w:rsid w:val="008A651B"/>
    <w:rsid w:val="008A6A75"/>
    <w:rsid w:val="008B0BD2"/>
    <w:rsid w:val="008B21CA"/>
    <w:rsid w:val="008C57FD"/>
    <w:rsid w:val="008D5AE6"/>
    <w:rsid w:val="008E2617"/>
    <w:rsid w:val="008F05A3"/>
    <w:rsid w:val="008F09BA"/>
    <w:rsid w:val="008F75CD"/>
    <w:rsid w:val="009006D1"/>
    <w:rsid w:val="00910196"/>
    <w:rsid w:val="00911485"/>
    <w:rsid w:val="00913FDA"/>
    <w:rsid w:val="009222ED"/>
    <w:rsid w:val="00922656"/>
    <w:rsid w:val="0092685E"/>
    <w:rsid w:val="00926E96"/>
    <w:rsid w:val="00933181"/>
    <w:rsid w:val="00933B63"/>
    <w:rsid w:val="00960FB1"/>
    <w:rsid w:val="00967443"/>
    <w:rsid w:val="009A16BD"/>
    <w:rsid w:val="009B0783"/>
    <w:rsid w:val="009B3AAE"/>
    <w:rsid w:val="009B5E45"/>
    <w:rsid w:val="009C1479"/>
    <w:rsid w:val="009C751D"/>
    <w:rsid w:val="009D3098"/>
    <w:rsid w:val="009D448F"/>
    <w:rsid w:val="009E7BD2"/>
    <w:rsid w:val="009F33CA"/>
    <w:rsid w:val="00A07D40"/>
    <w:rsid w:val="00A13BA7"/>
    <w:rsid w:val="00A21218"/>
    <w:rsid w:val="00A21A1F"/>
    <w:rsid w:val="00A30D01"/>
    <w:rsid w:val="00A51B27"/>
    <w:rsid w:val="00A60BB5"/>
    <w:rsid w:val="00A61C5D"/>
    <w:rsid w:val="00A633EA"/>
    <w:rsid w:val="00A650B8"/>
    <w:rsid w:val="00A65C1F"/>
    <w:rsid w:val="00A70BC2"/>
    <w:rsid w:val="00A843B2"/>
    <w:rsid w:val="00A94C19"/>
    <w:rsid w:val="00AA4058"/>
    <w:rsid w:val="00AA41CF"/>
    <w:rsid w:val="00AB3590"/>
    <w:rsid w:val="00AC0BE9"/>
    <w:rsid w:val="00AC3434"/>
    <w:rsid w:val="00AC4C96"/>
    <w:rsid w:val="00AC7F9F"/>
    <w:rsid w:val="00AD0B7F"/>
    <w:rsid w:val="00AF53A2"/>
    <w:rsid w:val="00AF5953"/>
    <w:rsid w:val="00B05A43"/>
    <w:rsid w:val="00B07749"/>
    <w:rsid w:val="00B10A16"/>
    <w:rsid w:val="00B13C4F"/>
    <w:rsid w:val="00B24AA6"/>
    <w:rsid w:val="00B24AA8"/>
    <w:rsid w:val="00B447D0"/>
    <w:rsid w:val="00B6579A"/>
    <w:rsid w:val="00B917A0"/>
    <w:rsid w:val="00B96FD6"/>
    <w:rsid w:val="00BB3E5D"/>
    <w:rsid w:val="00BE430B"/>
    <w:rsid w:val="00C01725"/>
    <w:rsid w:val="00C042ED"/>
    <w:rsid w:val="00C212A5"/>
    <w:rsid w:val="00C21DBD"/>
    <w:rsid w:val="00C23B5E"/>
    <w:rsid w:val="00C26C2C"/>
    <w:rsid w:val="00C3581E"/>
    <w:rsid w:val="00C516A9"/>
    <w:rsid w:val="00C559B2"/>
    <w:rsid w:val="00C60272"/>
    <w:rsid w:val="00C9634F"/>
    <w:rsid w:val="00C963B3"/>
    <w:rsid w:val="00CA0B73"/>
    <w:rsid w:val="00CA5607"/>
    <w:rsid w:val="00CA7349"/>
    <w:rsid w:val="00CB7C1B"/>
    <w:rsid w:val="00CD2D5D"/>
    <w:rsid w:val="00CD5BCD"/>
    <w:rsid w:val="00CD60FD"/>
    <w:rsid w:val="00CE7AA4"/>
    <w:rsid w:val="00CF1E6A"/>
    <w:rsid w:val="00CF4E19"/>
    <w:rsid w:val="00CF740D"/>
    <w:rsid w:val="00D12C3F"/>
    <w:rsid w:val="00D16B0E"/>
    <w:rsid w:val="00D30CF2"/>
    <w:rsid w:val="00D30D4C"/>
    <w:rsid w:val="00D35608"/>
    <w:rsid w:val="00D36915"/>
    <w:rsid w:val="00D53B5E"/>
    <w:rsid w:val="00D64FF5"/>
    <w:rsid w:val="00D7218C"/>
    <w:rsid w:val="00D82102"/>
    <w:rsid w:val="00DB2D6C"/>
    <w:rsid w:val="00DC5926"/>
    <w:rsid w:val="00DC7BF1"/>
    <w:rsid w:val="00DD6083"/>
    <w:rsid w:val="00DE51D6"/>
    <w:rsid w:val="00DE617B"/>
    <w:rsid w:val="00DF6E16"/>
    <w:rsid w:val="00E05D35"/>
    <w:rsid w:val="00E21FFA"/>
    <w:rsid w:val="00E2612E"/>
    <w:rsid w:val="00E4163C"/>
    <w:rsid w:val="00E45E3B"/>
    <w:rsid w:val="00E5547D"/>
    <w:rsid w:val="00E60E08"/>
    <w:rsid w:val="00E6285C"/>
    <w:rsid w:val="00E649E7"/>
    <w:rsid w:val="00E758F6"/>
    <w:rsid w:val="00E77169"/>
    <w:rsid w:val="00E82028"/>
    <w:rsid w:val="00E82495"/>
    <w:rsid w:val="00E86E76"/>
    <w:rsid w:val="00E87EA8"/>
    <w:rsid w:val="00E924A1"/>
    <w:rsid w:val="00EA1086"/>
    <w:rsid w:val="00EA48B7"/>
    <w:rsid w:val="00EB1F11"/>
    <w:rsid w:val="00EB3613"/>
    <w:rsid w:val="00EC4FD6"/>
    <w:rsid w:val="00EE1D26"/>
    <w:rsid w:val="00EE2304"/>
    <w:rsid w:val="00EE3495"/>
    <w:rsid w:val="00EF27DD"/>
    <w:rsid w:val="00EF5FF9"/>
    <w:rsid w:val="00F1329F"/>
    <w:rsid w:val="00F30881"/>
    <w:rsid w:val="00F33BF7"/>
    <w:rsid w:val="00F35A1C"/>
    <w:rsid w:val="00F36FEC"/>
    <w:rsid w:val="00F457EB"/>
    <w:rsid w:val="00F51F36"/>
    <w:rsid w:val="00F54957"/>
    <w:rsid w:val="00F57C83"/>
    <w:rsid w:val="00F71A62"/>
    <w:rsid w:val="00F82891"/>
    <w:rsid w:val="00F8489A"/>
    <w:rsid w:val="00F87653"/>
    <w:rsid w:val="00F96742"/>
    <w:rsid w:val="00FA5BD9"/>
    <w:rsid w:val="00FB0889"/>
    <w:rsid w:val="00FC1620"/>
    <w:rsid w:val="00FC3ED1"/>
    <w:rsid w:val="00FD1499"/>
    <w:rsid w:val="00FD21C7"/>
    <w:rsid w:val="00FD3416"/>
    <w:rsid w:val="00FD3721"/>
    <w:rsid w:val="00FE0CC2"/>
    <w:rsid w:val="00FF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D1EC3"/>
  <w15:docId w15:val="{ED3C4CBA-3DA9-44EA-A17A-A9CF2B7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3F"/>
  </w:style>
  <w:style w:type="paragraph" w:styleId="Heading2">
    <w:name w:val="heading 2"/>
    <w:basedOn w:val="Normal"/>
    <w:link w:val="Heading2Char"/>
    <w:uiPriority w:val="9"/>
    <w:qFormat/>
    <w:rsid w:val="00DF6E1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F6E1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070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3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665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6E16"/>
    <w:rPr>
      <w:rFonts w:eastAsia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F6E16"/>
    <w:rPr>
      <w:rFonts w:eastAsia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94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3B27-A007-4F11-B146-1488F5B6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Nguyễn Thị Hường</cp:lastModifiedBy>
  <cp:revision>2</cp:revision>
  <cp:lastPrinted>2019-07-09T02:14:00Z</cp:lastPrinted>
  <dcterms:created xsi:type="dcterms:W3CDTF">2023-12-20T08:36:00Z</dcterms:created>
  <dcterms:modified xsi:type="dcterms:W3CDTF">2023-12-20T08:36:00Z</dcterms:modified>
</cp:coreProperties>
</file>