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AC55C" w14:textId="37CB3B8E" w:rsidR="00406EFE" w:rsidRPr="00CF1E6A" w:rsidRDefault="00406EFE" w:rsidP="00406EFE">
      <w:pPr>
        <w:rPr>
          <w:rFonts w:cs="Times New Roman"/>
          <w:b/>
          <w:sz w:val="24"/>
          <w:szCs w:val="24"/>
          <w:u w:val="single"/>
          <w:lang w:val="en-US"/>
        </w:rPr>
      </w:pPr>
      <w:r w:rsidRPr="00CF1E6A">
        <w:rPr>
          <w:rFonts w:cs="Times New Roman"/>
          <w:b/>
          <w:sz w:val="24"/>
          <w:szCs w:val="24"/>
          <w:u w:val="single"/>
        </w:rPr>
        <w:t xml:space="preserve">ĐƠN VỊ THÔNG TIN THUỐC BV PHCN -  THÁNG </w:t>
      </w:r>
      <w:r w:rsidR="00A42250">
        <w:rPr>
          <w:rFonts w:cs="Times New Roman"/>
          <w:b/>
          <w:sz w:val="24"/>
          <w:szCs w:val="24"/>
          <w:u w:val="single"/>
          <w:lang w:val="en-US"/>
        </w:rPr>
        <w:t>5/2024</w:t>
      </w:r>
    </w:p>
    <w:p w14:paraId="27E255FB" w14:textId="77777777" w:rsidR="00406EFE" w:rsidRDefault="00406EFE" w:rsidP="00747039">
      <w:pPr>
        <w:jc w:val="center"/>
        <w:rPr>
          <w:b/>
          <w:sz w:val="40"/>
          <w:szCs w:val="40"/>
          <w:lang w:val="en-US"/>
        </w:rPr>
      </w:pPr>
    </w:p>
    <w:p w14:paraId="310945E4" w14:textId="1466E8C2" w:rsidR="00651B85" w:rsidRDefault="00A42250" w:rsidP="00647F5A">
      <w:pPr>
        <w:jc w:val="center"/>
        <w:rPr>
          <w:b/>
          <w:sz w:val="40"/>
          <w:szCs w:val="40"/>
          <w:lang w:val="en-US"/>
        </w:rPr>
      </w:pPr>
      <w:r>
        <w:rPr>
          <w:b/>
          <w:sz w:val="40"/>
          <w:szCs w:val="40"/>
          <w:lang w:val="en-US"/>
        </w:rPr>
        <w:t>LISINOPRIL ATB 10 MG</w:t>
      </w:r>
    </w:p>
    <w:p w14:paraId="4BCB0F26" w14:textId="053A3054" w:rsidR="00747039" w:rsidRPr="00747039" w:rsidRDefault="008C2A3E" w:rsidP="00747039">
      <w:pPr>
        <w:jc w:val="center"/>
        <w:rPr>
          <w:b/>
          <w:sz w:val="40"/>
          <w:szCs w:val="40"/>
          <w:lang w:val="en-US"/>
        </w:rPr>
      </w:pPr>
      <w:r>
        <w:rPr>
          <w:noProof/>
        </w:rPr>
        <w:drawing>
          <wp:inline distT="0" distB="0" distL="0" distR="0" wp14:anchorId="245CA6F6" wp14:editId="117DF7CC">
            <wp:extent cx="2943225" cy="1552575"/>
            <wp:effectExtent l="0" t="0" r="9525" b="9525"/>
            <wp:docPr id="1" name="Picture 1" descr="Thuốc Lisinopril ATB 10mg - Điều trị tăng huyết 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ốc Lisinopril ATB 10mg - Điều trị tăng huyết á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1552575"/>
                    </a:xfrm>
                    <a:prstGeom prst="rect">
                      <a:avLst/>
                    </a:prstGeom>
                    <a:noFill/>
                    <a:ln>
                      <a:noFill/>
                    </a:ln>
                  </pic:spPr>
                </pic:pic>
              </a:graphicData>
            </a:graphic>
          </wp:inline>
        </w:drawing>
      </w:r>
    </w:p>
    <w:p w14:paraId="4810FE0B" w14:textId="6D1DF647" w:rsidR="00D7218C" w:rsidRPr="000735D1" w:rsidRDefault="00D7218C">
      <w:pPr>
        <w:rPr>
          <w:bCs/>
          <w:lang w:val="en-US"/>
        </w:rPr>
      </w:pPr>
      <w:r w:rsidRPr="00747039">
        <w:rPr>
          <w:b/>
          <w:lang w:val="en-US"/>
        </w:rPr>
        <w:t>Thành phần:</w:t>
      </w:r>
      <w:r w:rsidR="000735D1">
        <w:rPr>
          <w:b/>
          <w:lang w:val="en-US"/>
        </w:rPr>
        <w:t xml:space="preserve"> </w:t>
      </w:r>
      <w:r w:rsidR="000735D1">
        <w:rPr>
          <w:bCs/>
          <w:lang w:val="en-US"/>
        </w:rPr>
        <w:t>Mỗi viên nén có chứa</w:t>
      </w:r>
    </w:p>
    <w:p w14:paraId="7A970EF9" w14:textId="194910F2" w:rsidR="00600275" w:rsidRPr="00A248C8" w:rsidRDefault="00000000" w:rsidP="00A42250">
      <w:pPr>
        <w:pStyle w:val="ListParagraph"/>
        <w:numPr>
          <w:ilvl w:val="0"/>
          <w:numId w:val="7"/>
        </w:numPr>
        <w:rPr>
          <w:rFonts w:cs="Times New Roman"/>
          <w:color w:val="000000" w:themeColor="text1"/>
          <w:szCs w:val="28"/>
          <w:shd w:val="clear" w:color="auto" w:fill="FFFFFF"/>
        </w:rPr>
      </w:pPr>
      <w:hyperlink r:id="rId7" w:tooltip="Thuốc Lisinopril là gì" w:history="1">
        <w:r w:rsidR="00600275" w:rsidRPr="00A248C8">
          <w:rPr>
            <w:rStyle w:val="Hyperlink"/>
            <w:rFonts w:cs="Times New Roman"/>
            <w:color w:val="000000" w:themeColor="text1"/>
            <w:szCs w:val="28"/>
            <w:u w:val="none"/>
            <w:shd w:val="clear" w:color="auto" w:fill="FFFFFF"/>
          </w:rPr>
          <w:t>Lisinopril</w:t>
        </w:r>
      </w:hyperlink>
      <w:r w:rsidR="00600275" w:rsidRPr="00A248C8">
        <w:rPr>
          <w:rFonts w:cs="Times New Roman"/>
          <w:color w:val="000000" w:themeColor="text1"/>
          <w:szCs w:val="28"/>
          <w:shd w:val="clear" w:color="auto" w:fill="FFFFFF"/>
        </w:rPr>
        <w:t> </w:t>
      </w:r>
      <w:r w:rsidR="000238C4">
        <w:rPr>
          <w:rFonts w:cs="Times New Roman"/>
          <w:color w:val="000000" w:themeColor="text1"/>
          <w:szCs w:val="28"/>
          <w:shd w:val="clear" w:color="auto" w:fill="FFFFFF"/>
          <w:lang w:val="en-US"/>
        </w:rPr>
        <w:t>(dưới dạng lisinopril dihydrat) …………………..10 mg</w:t>
      </w:r>
    </w:p>
    <w:p w14:paraId="3914F36D" w14:textId="7730C56B" w:rsidR="00440D9B" w:rsidRPr="00A248C8" w:rsidRDefault="00440D9B" w:rsidP="00A248C8">
      <w:pPr>
        <w:pStyle w:val="ListParagraph"/>
        <w:numPr>
          <w:ilvl w:val="0"/>
          <w:numId w:val="7"/>
        </w:numPr>
        <w:rPr>
          <w:rFonts w:cs="Times New Roman"/>
          <w:color w:val="000000" w:themeColor="text1"/>
          <w:szCs w:val="28"/>
          <w:shd w:val="clear" w:color="auto" w:fill="FFFFFF"/>
          <w:lang w:val="en-US"/>
        </w:rPr>
      </w:pPr>
      <w:r w:rsidRPr="00A248C8">
        <w:rPr>
          <w:rFonts w:cs="Times New Roman"/>
          <w:color w:val="000000" w:themeColor="text1"/>
          <w:szCs w:val="28"/>
          <w:shd w:val="clear" w:color="auto" w:fill="FFFFFF"/>
          <w:lang w:val="en-US"/>
        </w:rPr>
        <w:t>Tá dược vừa đủ ……………………………………………</w:t>
      </w:r>
      <w:r w:rsidR="000238C4">
        <w:rPr>
          <w:rFonts w:cs="Times New Roman"/>
          <w:color w:val="000000" w:themeColor="text1"/>
          <w:szCs w:val="28"/>
          <w:shd w:val="clear" w:color="auto" w:fill="FFFFFF"/>
          <w:lang w:val="en-US"/>
        </w:rPr>
        <w:t>..</w:t>
      </w:r>
      <w:r w:rsidRPr="00A248C8">
        <w:rPr>
          <w:rFonts w:cs="Times New Roman"/>
          <w:color w:val="000000" w:themeColor="text1"/>
          <w:szCs w:val="28"/>
          <w:shd w:val="clear" w:color="auto" w:fill="FFFFFF"/>
          <w:lang w:val="en-US"/>
        </w:rPr>
        <w:t xml:space="preserve">1 viên </w:t>
      </w:r>
    </w:p>
    <w:p w14:paraId="355B1100" w14:textId="208E904F" w:rsidR="00A248C8" w:rsidRDefault="00E851CF" w:rsidP="000677C2">
      <w:pPr>
        <w:pStyle w:val="ListParagraph"/>
        <w:rPr>
          <w:rFonts w:cs="Times New Roman"/>
          <w:color w:val="000000" w:themeColor="text1"/>
          <w:szCs w:val="28"/>
          <w:shd w:val="clear" w:color="auto" w:fill="FFFFFF"/>
          <w:lang w:val="en-US"/>
        </w:rPr>
      </w:pPr>
      <w:r w:rsidRPr="00A248C8">
        <w:rPr>
          <w:rFonts w:cs="Times New Roman"/>
          <w:color w:val="000000" w:themeColor="text1"/>
          <w:szCs w:val="28"/>
          <w:shd w:val="clear" w:color="auto" w:fill="FFFFFF"/>
          <w:lang w:val="en-US"/>
        </w:rPr>
        <w:t xml:space="preserve">(Calci </w:t>
      </w:r>
      <w:r w:rsidR="000238C4">
        <w:rPr>
          <w:rFonts w:cs="Times New Roman"/>
          <w:color w:val="000000" w:themeColor="text1"/>
          <w:szCs w:val="28"/>
          <w:shd w:val="clear" w:color="auto" w:fill="FFFFFF"/>
          <w:lang w:val="en-US"/>
        </w:rPr>
        <w:t>hydrogen phosphat</w:t>
      </w:r>
      <w:r w:rsidR="002E0328">
        <w:rPr>
          <w:rFonts w:cs="Times New Roman"/>
          <w:color w:val="000000" w:themeColor="text1"/>
          <w:szCs w:val="28"/>
          <w:shd w:val="clear" w:color="auto" w:fill="FFFFFF"/>
          <w:lang w:val="en-US"/>
        </w:rPr>
        <w:t xml:space="preserve"> dihydrat, manitol, tinh bột tiền gelatin hoá, tinh bột ngô, silica khan dạng keo, magnesi stearat).</w:t>
      </w:r>
    </w:p>
    <w:p w14:paraId="21DE189A" w14:textId="77777777" w:rsidR="00A248C8" w:rsidRPr="00440D9B" w:rsidRDefault="00A248C8">
      <w:pPr>
        <w:rPr>
          <w:rFonts w:cs="Times New Roman"/>
          <w:b/>
          <w:color w:val="000000" w:themeColor="text1"/>
          <w:szCs w:val="28"/>
          <w:lang w:val="en-US"/>
        </w:rPr>
      </w:pPr>
    </w:p>
    <w:p w14:paraId="2E7080F7" w14:textId="77777777" w:rsidR="00412E10" w:rsidRDefault="00CA7349">
      <w:pPr>
        <w:rPr>
          <w:b/>
          <w:lang w:val="en-US"/>
        </w:rPr>
      </w:pPr>
      <w:r w:rsidRPr="00747039">
        <w:rPr>
          <w:b/>
          <w:lang w:val="en-US"/>
        </w:rPr>
        <w:t>Chỉ định:</w:t>
      </w:r>
      <w:r w:rsidR="00FE33E0">
        <w:rPr>
          <w:b/>
          <w:lang w:val="en-US"/>
        </w:rPr>
        <w:t xml:space="preserve"> </w:t>
      </w:r>
    </w:p>
    <w:p w14:paraId="125DA5B8" w14:textId="6CE49C58" w:rsidR="006840EB" w:rsidRDefault="006840EB">
      <w:pPr>
        <w:rPr>
          <w:bCs/>
          <w:lang w:val="en-US"/>
        </w:rPr>
      </w:pPr>
      <w:r>
        <w:rPr>
          <w:b/>
          <w:lang w:val="en-US"/>
        </w:rPr>
        <w:tab/>
        <w:t xml:space="preserve">- </w:t>
      </w:r>
      <w:r>
        <w:rPr>
          <w:bCs/>
          <w:lang w:val="en-US"/>
        </w:rPr>
        <w:t>Tăng huyết áp: Điều trị tăng huyết áp</w:t>
      </w:r>
      <w:r w:rsidR="00ED6AE0">
        <w:rPr>
          <w:bCs/>
          <w:lang w:val="en-US"/>
        </w:rPr>
        <w:t>.</w:t>
      </w:r>
    </w:p>
    <w:p w14:paraId="7D7342FE" w14:textId="279B006D" w:rsidR="00ED6AE0" w:rsidRDefault="00ED6AE0">
      <w:pPr>
        <w:rPr>
          <w:bCs/>
          <w:lang w:val="en-US"/>
        </w:rPr>
      </w:pPr>
      <w:r>
        <w:rPr>
          <w:bCs/>
          <w:lang w:val="en-US"/>
        </w:rPr>
        <w:tab/>
        <w:t>- Suy tim: Điều trị suy tim có triệu chứng.</w:t>
      </w:r>
    </w:p>
    <w:p w14:paraId="4E625005" w14:textId="5E5DC769" w:rsidR="00ED6AE0" w:rsidRDefault="00ED6AE0">
      <w:pPr>
        <w:rPr>
          <w:bCs/>
          <w:lang w:val="en-US"/>
        </w:rPr>
      </w:pPr>
      <w:r>
        <w:rPr>
          <w:bCs/>
          <w:lang w:val="en-US"/>
        </w:rPr>
        <w:tab/>
        <w:t>- Nhồi máu cơ tim cấp: Điều trị ngắn hạn</w:t>
      </w:r>
      <w:r w:rsidR="005F5300">
        <w:rPr>
          <w:bCs/>
          <w:lang w:val="en-US"/>
        </w:rPr>
        <w:t xml:space="preserve"> (6 tuần) ở bệnh nhân có huyết động học ổn định</w:t>
      </w:r>
      <w:r w:rsidR="00E7285F">
        <w:rPr>
          <w:bCs/>
          <w:lang w:val="en-US"/>
        </w:rPr>
        <w:t xml:space="preserve"> trong vòng 24 giờ đầu ở bệnh nhân nhồi máu cơ tim cấp.</w:t>
      </w:r>
    </w:p>
    <w:p w14:paraId="03E7DF8D" w14:textId="2BD3ECA3" w:rsidR="00E7285F" w:rsidRPr="006840EB" w:rsidRDefault="00E7285F">
      <w:pPr>
        <w:rPr>
          <w:bCs/>
          <w:lang w:val="en-US"/>
        </w:rPr>
      </w:pPr>
      <w:r>
        <w:rPr>
          <w:bCs/>
          <w:lang w:val="en-US"/>
        </w:rPr>
        <w:tab/>
        <w:t xml:space="preserve">- Biến chứng trên thận của bệnh nhân đái tháo đường: Ở bệnh nhân đái tháo đường phụ thuộc insulin </w:t>
      </w:r>
      <w:r w:rsidR="00EC37D6">
        <w:rPr>
          <w:bCs/>
          <w:lang w:val="en-US"/>
        </w:rPr>
        <w:t xml:space="preserve">có huyết áp bình thường và bệnh nhân đái tháo đường không phụ thuộc insulin có tăng huyết áp vừa mới chớm mắc bệnh lý thận được đặc trưng bởi </w:t>
      </w:r>
      <w:r w:rsidR="00B77D1C">
        <w:rPr>
          <w:bCs/>
          <w:lang w:val="en-US"/>
        </w:rPr>
        <w:t>vi albumin niệu, lisinopril làm giảm tốc độ tiết albumin niệu.</w:t>
      </w:r>
    </w:p>
    <w:p w14:paraId="4BEA8274" w14:textId="77777777" w:rsidR="00FD1499" w:rsidRDefault="00FD1499" w:rsidP="00FD1499">
      <w:pPr>
        <w:rPr>
          <w:b/>
          <w:lang w:val="en-US"/>
        </w:rPr>
      </w:pPr>
      <w:r w:rsidRPr="00747039">
        <w:rPr>
          <w:b/>
          <w:lang w:val="en-US"/>
        </w:rPr>
        <w:t>Liều lượng và cách dùng:</w:t>
      </w:r>
    </w:p>
    <w:p w14:paraId="5B59DB03" w14:textId="54695D82" w:rsidR="00185F16" w:rsidRDefault="009D6CAD" w:rsidP="00185F16">
      <w:pPr>
        <w:pStyle w:val="NormalWeb"/>
        <w:shd w:val="clear" w:color="auto" w:fill="FFFFFF"/>
        <w:spacing w:before="0" w:beforeAutospacing="0" w:after="150" w:afterAutospacing="0"/>
        <w:rPr>
          <w:color w:val="000000" w:themeColor="text1"/>
          <w:sz w:val="28"/>
          <w:szCs w:val="28"/>
          <w:lang w:val="en-US"/>
        </w:rPr>
      </w:pPr>
      <w:r w:rsidRPr="009C5AAE">
        <w:rPr>
          <w:bCs/>
          <w:i/>
          <w:iCs/>
          <w:sz w:val="28"/>
          <w:szCs w:val="28"/>
          <w:lang w:val="en-US"/>
        </w:rPr>
        <w:t>Cách dùng</w:t>
      </w:r>
      <w:r>
        <w:rPr>
          <w:bCs/>
          <w:lang w:val="en-US"/>
        </w:rPr>
        <w:t xml:space="preserve">: </w:t>
      </w:r>
      <w:r w:rsidR="00185F16" w:rsidRPr="00185F16">
        <w:rPr>
          <w:color w:val="000000" w:themeColor="text1"/>
          <w:sz w:val="28"/>
          <w:szCs w:val="28"/>
        </w:rPr>
        <w:t>Lisinopril là thuốc ức chế enzym chuyển có tác dụng kéo dài, vì vậy thuốc được dùng đường uống và ngày dùng 1 lần.</w:t>
      </w:r>
      <w:r>
        <w:rPr>
          <w:color w:val="000000" w:themeColor="text1"/>
          <w:sz w:val="28"/>
          <w:szCs w:val="28"/>
          <w:lang w:val="en-US"/>
        </w:rPr>
        <w:t xml:space="preserve"> Thức ăn không ảnh hưởng đến sự hấp thu của viên nén lisinopril.</w:t>
      </w:r>
    </w:p>
    <w:p w14:paraId="723B8F5D" w14:textId="3890ED97" w:rsidR="00BC2F55" w:rsidRPr="00BC2F55" w:rsidRDefault="00BC2F55" w:rsidP="00185F16">
      <w:pPr>
        <w:pStyle w:val="NormalWeb"/>
        <w:shd w:val="clear" w:color="auto" w:fill="FFFFFF"/>
        <w:spacing w:before="0" w:beforeAutospacing="0" w:after="150" w:afterAutospacing="0"/>
        <w:rPr>
          <w:b/>
          <w:bCs/>
          <w:i/>
          <w:iCs/>
          <w:color w:val="000000" w:themeColor="text1"/>
          <w:sz w:val="28"/>
          <w:szCs w:val="28"/>
          <w:lang w:val="en-US"/>
        </w:rPr>
      </w:pPr>
      <w:r w:rsidRPr="00BC2F55">
        <w:rPr>
          <w:b/>
          <w:bCs/>
          <w:i/>
          <w:iCs/>
          <w:color w:val="000000" w:themeColor="text1"/>
          <w:sz w:val="28"/>
          <w:szCs w:val="28"/>
          <w:lang w:val="en-US"/>
        </w:rPr>
        <w:t>Người lớn:</w:t>
      </w:r>
    </w:p>
    <w:p w14:paraId="2133F2B6" w14:textId="77777777" w:rsidR="00185F16" w:rsidRPr="00185F16" w:rsidRDefault="00185F16" w:rsidP="00185F16">
      <w:pPr>
        <w:pStyle w:val="NormalWeb"/>
        <w:shd w:val="clear" w:color="auto" w:fill="FFFFFF"/>
        <w:spacing w:before="0" w:beforeAutospacing="0" w:after="150" w:afterAutospacing="0"/>
        <w:rPr>
          <w:color w:val="000000" w:themeColor="text1"/>
          <w:sz w:val="28"/>
          <w:szCs w:val="28"/>
        </w:rPr>
      </w:pPr>
      <w:r w:rsidRPr="00185F16">
        <w:rPr>
          <w:rStyle w:val="Emphasis"/>
          <w:color w:val="000000" w:themeColor="text1"/>
          <w:sz w:val="28"/>
          <w:szCs w:val="28"/>
        </w:rPr>
        <w:t>Điều trị tăng huyết áp:</w:t>
      </w:r>
    </w:p>
    <w:p w14:paraId="60F2E3D1" w14:textId="698F60FA" w:rsidR="00185F16" w:rsidRPr="00185F16" w:rsidRDefault="00636DC5" w:rsidP="00636DC5">
      <w:pPr>
        <w:pStyle w:val="NormalWeb"/>
        <w:shd w:val="clear" w:color="auto" w:fill="FFFFFF"/>
        <w:spacing w:before="0" w:beforeAutospacing="0" w:after="150" w:afterAutospacing="0"/>
        <w:ind w:firstLine="720"/>
        <w:rPr>
          <w:color w:val="000000" w:themeColor="text1"/>
          <w:sz w:val="28"/>
          <w:szCs w:val="28"/>
        </w:rPr>
      </w:pPr>
      <w:r>
        <w:rPr>
          <w:color w:val="000000" w:themeColor="text1"/>
          <w:sz w:val="28"/>
          <w:szCs w:val="28"/>
          <w:lang w:val="en-US"/>
        </w:rPr>
        <w:t xml:space="preserve">- </w:t>
      </w:r>
      <w:r w:rsidR="00185F16" w:rsidRPr="00185F16">
        <w:rPr>
          <w:color w:val="000000" w:themeColor="text1"/>
          <w:sz w:val="28"/>
          <w:szCs w:val="28"/>
        </w:rPr>
        <w:t>Liều khởi đầu: 5 - 10 mg/ngày, điều chỉnh liều theo đáp ứng lâm sàng của người bệnh.</w:t>
      </w:r>
    </w:p>
    <w:p w14:paraId="611AAF80" w14:textId="48D3EE39" w:rsidR="00185F16" w:rsidRDefault="00636DC5" w:rsidP="00636DC5">
      <w:pPr>
        <w:pStyle w:val="NormalWeb"/>
        <w:shd w:val="clear" w:color="auto" w:fill="FFFFFF"/>
        <w:spacing w:before="0" w:beforeAutospacing="0" w:after="150" w:afterAutospacing="0"/>
        <w:ind w:firstLine="720"/>
        <w:rPr>
          <w:color w:val="000000" w:themeColor="text1"/>
          <w:sz w:val="28"/>
          <w:szCs w:val="28"/>
          <w:lang w:val="en-US"/>
        </w:rPr>
      </w:pPr>
      <w:r>
        <w:rPr>
          <w:color w:val="000000" w:themeColor="text1"/>
          <w:sz w:val="28"/>
          <w:szCs w:val="28"/>
          <w:lang w:val="en-US"/>
        </w:rPr>
        <w:t xml:space="preserve">- </w:t>
      </w:r>
      <w:r w:rsidR="00185F16" w:rsidRPr="00185F16">
        <w:rPr>
          <w:color w:val="000000" w:themeColor="text1"/>
          <w:sz w:val="28"/>
          <w:szCs w:val="28"/>
        </w:rPr>
        <w:t>Liều duy trì: 20 mg/ngày.</w:t>
      </w:r>
      <w:r w:rsidR="00AE68E2">
        <w:rPr>
          <w:color w:val="000000" w:themeColor="text1"/>
          <w:sz w:val="28"/>
          <w:szCs w:val="28"/>
          <w:lang w:val="en-US"/>
        </w:rPr>
        <w:t xml:space="preserve"> Liều tối đa 80 mg/ngày.</w:t>
      </w:r>
    </w:p>
    <w:p w14:paraId="0A074780" w14:textId="54E98965" w:rsidR="00122A62" w:rsidRDefault="00636DC5" w:rsidP="00636DC5">
      <w:pPr>
        <w:pStyle w:val="NormalWeb"/>
        <w:shd w:val="clear" w:color="auto" w:fill="FFFFFF"/>
        <w:spacing w:before="0" w:beforeAutospacing="0" w:after="150" w:afterAutospacing="0"/>
        <w:ind w:firstLine="720"/>
        <w:rPr>
          <w:color w:val="000000" w:themeColor="text1"/>
          <w:sz w:val="28"/>
          <w:szCs w:val="28"/>
          <w:lang w:val="en-US"/>
        </w:rPr>
      </w:pPr>
      <w:r>
        <w:rPr>
          <w:color w:val="000000" w:themeColor="text1"/>
          <w:sz w:val="28"/>
          <w:szCs w:val="28"/>
          <w:lang w:val="en-US"/>
        </w:rPr>
        <w:t xml:space="preserve">- </w:t>
      </w:r>
      <w:r w:rsidR="00122A62">
        <w:rPr>
          <w:color w:val="000000" w:themeColor="text1"/>
          <w:sz w:val="28"/>
          <w:szCs w:val="28"/>
          <w:lang w:val="en-US"/>
        </w:rPr>
        <w:t xml:space="preserve">Điều chỉnh liều dùng trên bệnh nhân suy thận: Liều dùng của bệnh nhân suy thận phải được dựa trên </w:t>
      </w:r>
      <w:r w:rsidR="00D57DDC">
        <w:rPr>
          <w:color w:val="000000" w:themeColor="text1"/>
          <w:sz w:val="28"/>
          <w:szCs w:val="28"/>
          <w:lang w:val="en-US"/>
        </w:rPr>
        <w:t>độ thanh thải creatinin như bảng sau.</w:t>
      </w:r>
    </w:p>
    <w:tbl>
      <w:tblPr>
        <w:tblStyle w:val="TableGrid"/>
        <w:tblW w:w="0" w:type="auto"/>
        <w:tblLook w:val="04A0" w:firstRow="1" w:lastRow="0" w:firstColumn="1" w:lastColumn="0" w:noHBand="0" w:noVBand="1"/>
      </w:tblPr>
      <w:tblGrid>
        <w:gridCol w:w="4955"/>
        <w:gridCol w:w="4956"/>
      </w:tblGrid>
      <w:tr w:rsidR="00D57DDC" w14:paraId="09B14469" w14:textId="77777777" w:rsidTr="00D57DDC">
        <w:tc>
          <w:tcPr>
            <w:tcW w:w="4955" w:type="dxa"/>
          </w:tcPr>
          <w:p w14:paraId="5E625BF8" w14:textId="438B989D" w:rsidR="00D57DDC" w:rsidRPr="00D127EA" w:rsidRDefault="00D57DDC" w:rsidP="00D127EA">
            <w:pPr>
              <w:pStyle w:val="NormalWeb"/>
              <w:spacing w:before="0" w:beforeAutospacing="0" w:after="150" w:afterAutospacing="0"/>
              <w:jc w:val="center"/>
              <w:rPr>
                <w:b/>
                <w:bCs/>
                <w:color w:val="000000" w:themeColor="text1"/>
                <w:sz w:val="28"/>
                <w:szCs w:val="28"/>
                <w:lang w:val="en-US"/>
              </w:rPr>
            </w:pPr>
            <w:r w:rsidRPr="00D127EA">
              <w:rPr>
                <w:b/>
                <w:bCs/>
                <w:color w:val="000000" w:themeColor="text1"/>
                <w:sz w:val="28"/>
                <w:szCs w:val="28"/>
                <w:lang w:val="en-US"/>
              </w:rPr>
              <w:t>Độ thanh thải creatinin (ml/phút)</w:t>
            </w:r>
          </w:p>
        </w:tc>
        <w:tc>
          <w:tcPr>
            <w:tcW w:w="4956" w:type="dxa"/>
          </w:tcPr>
          <w:p w14:paraId="7E6F2A28" w14:textId="42098614" w:rsidR="00D57DDC" w:rsidRPr="00D127EA" w:rsidRDefault="00D57DDC" w:rsidP="00D127EA">
            <w:pPr>
              <w:pStyle w:val="NormalWeb"/>
              <w:spacing w:before="0" w:beforeAutospacing="0" w:after="150" w:afterAutospacing="0"/>
              <w:jc w:val="center"/>
              <w:rPr>
                <w:b/>
                <w:bCs/>
                <w:color w:val="000000" w:themeColor="text1"/>
                <w:sz w:val="28"/>
                <w:szCs w:val="28"/>
                <w:lang w:val="en-US"/>
              </w:rPr>
            </w:pPr>
            <w:r w:rsidRPr="00D127EA">
              <w:rPr>
                <w:b/>
                <w:bCs/>
                <w:color w:val="000000" w:themeColor="text1"/>
                <w:sz w:val="28"/>
                <w:szCs w:val="28"/>
                <w:lang w:val="en-US"/>
              </w:rPr>
              <w:t>Liều khởi đầu (mg/ngày)</w:t>
            </w:r>
          </w:p>
        </w:tc>
      </w:tr>
      <w:tr w:rsidR="00D57DDC" w14:paraId="4DC5B95B" w14:textId="77777777" w:rsidTr="00D57DDC">
        <w:tc>
          <w:tcPr>
            <w:tcW w:w="4955" w:type="dxa"/>
          </w:tcPr>
          <w:p w14:paraId="709A17A1" w14:textId="207178DC" w:rsidR="00D57DDC" w:rsidRDefault="00D57DDC" w:rsidP="00185F16">
            <w:pPr>
              <w:pStyle w:val="NormalWeb"/>
              <w:spacing w:before="0" w:beforeAutospacing="0" w:after="150" w:afterAutospacing="0"/>
              <w:rPr>
                <w:color w:val="000000" w:themeColor="text1"/>
                <w:sz w:val="28"/>
                <w:szCs w:val="28"/>
                <w:lang w:val="en-US"/>
              </w:rPr>
            </w:pPr>
            <w:r>
              <w:rPr>
                <w:color w:val="000000" w:themeColor="text1"/>
                <w:sz w:val="28"/>
                <w:szCs w:val="28"/>
                <w:lang w:val="en-US"/>
              </w:rPr>
              <w:t xml:space="preserve"> Ít hơn 10 ml/phút (kể cả bệnh nhân thẩm phân)</w:t>
            </w:r>
          </w:p>
        </w:tc>
        <w:tc>
          <w:tcPr>
            <w:tcW w:w="4956" w:type="dxa"/>
          </w:tcPr>
          <w:p w14:paraId="62897120" w14:textId="516D0720" w:rsidR="00D57DDC" w:rsidRDefault="00D57DDC" w:rsidP="00185F16">
            <w:pPr>
              <w:pStyle w:val="NormalWeb"/>
              <w:spacing w:before="0" w:beforeAutospacing="0" w:after="150" w:afterAutospacing="0"/>
              <w:rPr>
                <w:color w:val="000000" w:themeColor="text1"/>
                <w:sz w:val="28"/>
                <w:szCs w:val="28"/>
                <w:lang w:val="en-US"/>
              </w:rPr>
            </w:pPr>
            <w:r>
              <w:rPr>
                <w:color w:val="000000" w:themeColor="text1"/>
                <w:sz w:val="28"/>
                <w:szCs w:val="28"/>
                <w:lang w:val="en-US"/>
              </w:rPr>
              <w:t>2,5 mg</w:t>
            </w:r>
          </w:p>
        </w:tc>
      </w:tr>
      <w:tr w:rsidR="00D57DDC" w14:paraId="29F88295" w14:textId="77777777" w:rsidTr="00D57DDC">
        <w:tc>
          <w:tcPr>
            <w:tcW w:w="4955" w:type="dxa"/>
          </w:tcPr>
          <w:p w14:paraId="3564C501" w14:textId="2C694CCB" w:rsidR="00D57DDC" w:rsidRDefault="00D127EA" w:rsidP="00185F16">
            <w:pPr>
              <w:pStyle w:val="NormalWeb"/>
              <w:spacing w:before="0" w:beforeAutospacing="0" w:after="150" w:afterAutospacing="0"/>
              <w:rPr>
                <w:color w:val="000000" w:themeColor="text1"/>
                <w:sz w:val="28"/>
                <w:szCs w:val="28"/>
                <w:lang w:val="en-US"/>
              </w:rPr>
            </w:pPr>
            <w:r>
              <w:rPr>
                <w:color w:val="000000" w:themeColor="text1"/>
                <w:sz w:val="28"/>
                <w:szCs w:val="28"/>
                <w:lang w:val="en-US"/>
              </w:rPr>
              <w:t>10 – 30 ml/phút</w:t>
            </w:r>
          </w:p>
        </w:tc>
        <w:tc>
          <w:tcPr>
            <w:tcW w:w="4956" w:type="dxa"/>
          </w:tcPr>
          <w:p w14:paraId="75E6953F" w14:textId="47D57984" w:rsidR="00D57DDC" w:rsidRDefault="00D57DDC" w:rsidP="00185F16">
            <w:pPr>
              <w:pStyle w:val="NormalWeb"/>
              <w:spacing w:before="0" w:beforeAutospacing="0" w:after="150" w:afterAutospacing="0"/>
              <w:rPr>
                <w:color w:val="000000" w:themeColor="text1"/>
                <w:sz w:val="28"/>
                <w:szCs w:val="28"/>
                <w:lang w:val="en-US"/>
              </w:rPr>
            </w:pPr>
            <w:r>
              <w:rPr>
                <w:color w:val="000000" w:themeColor="text1"/>
                <w:sz w:val="28"/>
                <w:szCs w:val="28"/>
                <w:lang w:val="en-US"/>
              </w:rPr>
              <w:t>2,5 – 5 mg</w:t>
            </w:r>
          </w:p>
        </w:tc>
      </w:tr>
      <w:tr w:rsidR="00D57DDC" w14:paraId="2C6A3414" w14:textId="77777777" w:rsidTr="00D57DDC">
        <w:tc>
          <w:tcPr>
            <w:tcW w:w="4955" w:type="dxa"/>
          </w:tcPr>
          <w:p w14:paraId="3DB648CC" w14:textId="562A9EBE" w:rsidR="00D57DDC" w:rsidRDefault="00D127EA" w:rsidP="00185F16">
            <w:pPr>
              <w:pStyle w:val="NormalWeb"/>
              <w:spacing w:before="0" w:beforeAutospacing="0" w:after="150" w:afterAutospacing="0"/>
              <w:rPr>
                <w:color w:val="000000" w:themeColor="text1"/>
                <w:sz w:val="28"/>
                <w:szCs w:val="28"/>
                <w:lang w:val="en-US"/>
              </w:rPr>
            </w:pPr>
            <w:r>
              <w:rPr>
                <w:color w:val="000000" w:themeColor="text1"/>
                <w:sz w:val="28"/>
                <w:szCs w:val="28"/>
                <w:lang w:val="en-US"/>
              </w:rPr>
              <w:lastRenderedPageBreak/>
              <w:t>31 – 80 ml/phút</w:t>
            </w:r>
          </w:p>
        </w:tc>
        <w:tc>
          <w:tcPr>
            <w:tcW w:w="4956" w:type="dxa"/>
          </w:tcPr>
          <w:p w14:paraId="15139C91" w14:textId="358BA650" w:rsidR="00D57DDC" w:rsidRDefault="00D127EA" w:rsidP="00185F16">
            <w:pPr>
              <w:pStyle w:val="NormalWeb"/>
              <w:spacing w:before="0" w:beforeAutospacing="0" w:after="150" w:afterAutospacing="0"/>
              <w:rPr>
                <w:color w:val="000000" w:themeColor="text1"/>
                <w:sz w:val="28"/>
                <w:szCs w:val="28"/>
                <w:lang w:val="en-US"/>
              </w:rPr>
            </w:pPr>
            <w:r>
              <w:rPr>
                <w:color w:val="000000" w:themeColor="text1"/>
                <w:sz w:val="28"/>
                <w:szCs w:val="28"/>
                <w:lang w:val="en-US"/>
              </w:rPr>
              <w:t>5 – 10 mg</w:t>
            </w:r>
          </w:p>
        </w:tc>
      </w:tr>
    </w:tbl>
    <w:p w14:paraId="43D3B6D1" w14:textId="77777777" w:rsidR="00D57DDC" w:rsidRDefault="00D57DDC" w:rsidP="00185F16">
      <w:pPr>
        <w:pStyle w:val="NormalWeb"/>
        <w:shd w:val="clear" w:color="auto" w:fill="FFFFFF"/>
        <w:spacing w:before="0" w:beforeAutospacing="0" w:after="150" w:afterAutospacing="0"/>
        <w:rPr>
          <w:color w:val="000000" w:themeColor="text1"/>
          <w:sz w:val="28"/>
          <w:szCs w:val="28"/>
          <w:lang w:val="en-US"/>
        </w:rPr>
      </w:pPr>
    </w:p>
    <w:p w14:paraId="58998097" w14:textId="5D959F4E" w:rsidR="00F55A27" w:rsidRDefault="00F55A27" w:rsidP="00F55A27">
      <w:pPr>
        <w:pStyle w:val="NormalWeb"/>
        <w:shd w:val="clear" w:color="auto" w:fill="FFFFFF"/>
        <w:spacing w:before="0" w:beforeAutospacing="0" w:after="150" w:afterAutospacing="0"/>
        <w:rPr>
          <w:rStyle w:val="Emphasis"/>
          <w:b/>
          <w:bCs/>
          <w:color w:val="000000" w:themeColor="text1"/>
          <w:sz w:val="28"/>
          <w:szCs w:val="28"/>
          <w:lang w:val="en-US"/>
        </w:rPr>
      </w:pPr>
      <w:r>
        <w:rPr>
          <w:rStyle w:val="Emphasis"/>
          <w:b/>
          <w:bCs/>
          <w:color w:val="000000" w:themeColor="text1"/>
          <w:sz w:val="28"/>
          <w:szCs w:val="28"/>
          <w:lang w:val="en-US"/>
        </w:rPr>
        <w:t xml:space="preserve"> Sử dụng trên t</w:t>
      </w:r>
      <w:r w:rsidRPr="00185F16">
        <w:rPr>
          <w:rStyle w:val="Emphasis"/>
          <w:b/>
          <w:bCs/>
          <w:color w:val="000000" w:themeColor="text1"/>
          <w:sz w:val="28"/>
          <w:szCs w:val="28"/>
        </w:rPr>
        <w:t xml:space="preserve">rẻ em </w:t>
      </w:r>
      <w:r>
        <w:rPr>
          <w:rStyle w:val="Emphasis"/>
          <w:b/>
          <w:bCs/>
          <w:color w:val="000000" w:themeColor="text1"/>
          <w:sz w:val="28"/>
          <w:szCs w:val="28"/>
          <w:lang w:val="en-US"/>
        </w:rPr>
        <w:t>bị tăng huyết áp</w:t>
      </w:r>
      <w:r w:rsidR="00221EDA">
        <w:rPr>
          <w:rStyle w:val="Emphasis"/>
          <w:b/>
          <w:bCs/>
          <w:color w:val="000000" w:themeColor="text1"/>
          <w:sz w:val="28"/>
          <w:szCs w:val="28"/>
          <w:lang w:val="en-US"/>
        </w:rPr>
        <w:t xml:space="preserve"> từ </w:t>
      </w:r>
      <w:r w:rsidRPr="00185F16">
        <w:rPr>
          <w:rStyle w:val="Emphasis"/>
          <w:b/>
          <w:bCs/>
          <w:color w:val="000000" w:themeColor="text1"/>
          <w:sz w:val="28"/>
          <w:szCs w:val="28"/>
        </w:rPr>
        <w:t xml:space="preserve">6  </w:t>
      </w:r>
      <w:r>
        <w:rPr>
          <w:rStyle w:val="Emphasis"/>
          <w:b/>
          <w:bCs/>
          <w:color w:val="000000" w:themeColor="text1"/>
          <w:sz w:val="28"/>
          <w:szCs w:val="28"/>
          <w:lang w:val="en-US"/>
        </w:rPr>
        <w:t>– 16 tuổi:</w:t>
      </w:r>
    </w:p>
    <w:p w14:paraId="09FD61B1" w14:textId="45244B31" w:rsidR="00F55A27" w:rsidRPr="00AE68E2" w:rsidRDefault="009A2445" w:rsidP="00185F16">
      <w:pPr>
        <w:pStyle w:val="NormalWeb"/>
        <w:shd w:val="clear" w:color="auto" w:fill="FFFFFF"/>
        <w:spacing w:before="0" w:beforeAutospacing="0" w:after="150" w:afterAutospacing="0"/>
        <w:rPr>
          <w:color w:val="000000" w:themeColor="text1"/>
          <w:sz w:val="28"/>
          <w:szCs w:val="28"/>
          <w:lang w:val="en-US"/>
        </w:rPr>
      </w:pPr>
      <w:r>
        <w:rPr>
          <w:rStyle w:val="Emphasis"/>
          <w:i w:val="0"/>
          <w:iCs w:val="0"/>
          <w:color w:val="000000" w:themeColor="text1"/>
          <w:sz w:val="28"/>
          <w:szCs w:val="28"/>
          <w:lang w:val="en-US"/>
        </w:rPr>
        <w:t xml:space="preserve">- Liều khởi đầu được khuyến cáo là 2,5 mg một lần mỗi ngày ở bệnh nhân có cân nặng </w:t>
      </w:r>
      <w:r w:rsidR="0011346D">
        <w:rPr>
          <w:rStyle w:val="Emphasis"/>
          <w:i w:val="0"/>
          <w:iCs w:val="0"/>
          <w:color w:val="000000" w:themeColor="text1"/>
          <w:sz w:val="28"/>
          <w:szCs w:val="28"/>
          <w:lang w:val="en-US"/>
        </w:rPr>
        <w:t xml:space="preserve">từ 20 kg đến &lt; 50 kg, và 5 mg mỗi ngày o bệnh nhân &gt; 50 kg. Liều dùng được điều chỉnh tuỳ theo từng cá thể </w:t>
      </w:r>
      <w:r w:rsidR="00E008B1">
        <w:rPr>
          <w:rStyle w:val="Emphasis"/>
          <w:i w:val="0"/>
          <w:iCs w:val="0"/>
          <w:color w:val="000000" w:themeColor="text1"/>
          <w:sz w:val="28"/>
          <w:szCs w:val="28"/>
          <w:lang w:val="en-US"/>
        </w:rPr>
        <w:t xml:space="preserve">đến tối đa 20 mg/ngày ở bệnh nhân có cân nặng từ </w:t>
      </w:r>
      <w:r w:rsidR="003E2E20">
        <w:rPr>
          <w:rStyle w:val="Emphasis"/>
          <w:i w:val="0"/>
          <w:iCs w:val="0"/>
          <w:color w:val="000000" w:themeColor="text1"/>
          <w:sz w:val="28"/>
          <w:szCs w:val="28"/>
          <w:lang w:val="en-US"/>
        </w:rPr>
        <w:t>20 kg đến &lt; 50 kg, và không quá 40 mg/ ngày ở bệnh nhân &gt; 50 kg.</w:t>
      </w:r>
    </w:p>
    <w:p w14:paraId="57CBB4E3" w14:textId="2043C6D0" w:rsidR="00185F16" w:rsidRPr="00185F16" w:rsidRDefault="005F1CCA" w:rsidP="00185F16">
      <w:pPr>
        <w:pStyle w:val="NormalWeb"/>
        <w:shd w:val="clear" w:color="auto" w:fill="FFFFFF"/>
        <w:spacing w:before="0" w:beforeAutospacing="0" w:after="150" w:afterAutospacing="0"/>
        <w:rPr>
          <w:color w:val="000000" w:themeColor="text1"/>
          <w:sz w:val="28"/>
          <w:szCs w:val="28"/>
        </w:rPr>
      </w:pPr>
      <w:r>
        <w:rPr>
          <w:rStyle w:val="Emphasis"/>
          <w:color w:val="000000" w:themeColor="text1"/>
          <w:sz w:val="28"/>
          <w:szCs w:val="28"/>
          <w:lang w:val="en-US"/>
        </w:rPr>
        <w:t>Suy tim</w:t>
      </w:r>
      <w:r w:rsidR="00185F16" w:rsidRPr="00185F16">
        <w:rPr>
          <w:rStyle w:val="Emphasis"/>
          <w:color w:val="000000" w:themeColor="text1"/>
          <w:sz w:val="28"/>
          <w:szCs w:val="28"/>
        </w:rPr>
        <w:t>:</w:t>
      </w:r>
    </w:p>
    <w:p w14:paraId="3CE75E2D" w14:textId="75161C4B" w:rsidR="00185F16" w:rsidRDefault="00755554" w:rsidP="00755554">
      <w:pPr>
        <w:pStyle w:val="NormalWeb"/>
        <w:shd w:val="clear" w:color="auto" w:fill="FFFFFF"/>
        <w:spacing w:before="0" w:beforeAutospacing="0" w:after="150" w:afterAutospacing="0"/>
        <w:ind w:firstLine="720"/>
        <w:rPr>
          <w:color w:val="000000" w:themeColor="text1"/>
          <w:sz w:val="28"/>
          <w:szCs w:val="28"/>
          <w:lang w:val="en-US"/>
        </w:rPr>
      </w:pPr>
      <w:r>
        <w:rPr>
          <w:color w:val="000000" w:themeColor="text1"/>
          <w:sz w:val="28"/>
          <w:szCs w:val="28"/>
          <w:lang w:val="en-US"/>
        </w:rPr>
        <w:t xml:space="preserve">- </w:t>
      </w:r>
      <w:r w:rsidR="00185F16" w:rsidRPr="00185F16">
        <w:rPr>
          <w:color w:val="000000" w:themeColor="text1"/>
          <w:sz w:val="28"/>
          <w:szCs w:val="28"/>
        </w:rPr>
        <w:t>Liều khởi đầu: 2,5/ngày, điều chỉnh liều theo đáp ứng lâm sàng của người bệnh.</w:t>
      </w:r>
      <w:r w:rsidR="00245A69">
        <w:rPr>
          <w:color w:val="000000" w:themeColor="text1"/>
          <w:sz w:val="28"/>
          <w:szCs w:val="28"/>
          <w:lang w:val="en-US"/>
        </w:rPr>
        <w:t xml:space="preserve"> Nên tăng liều Lisinopril :</w:t>
      </w:r>
    </w:p>
    <w:p w14:paraId="10ECC1DA" w14:textId="6CF2E119" w:rsidR="00245A69" w:rsidRDefault="00245A69" w:rsidP="00185F16">
      <w:pPr>
        <w:pStyle w:val="NormalWeb"/>
        <w:shd w:val="clear" w:color="auto" w:fill="FFFFFF"/>
        <w:spacing w:before="0" w:beforeAutospacing="0" w:after="150" w:afterAutospacing="0"/>
        <w:rPr>
          <w:color w:val="000000" w:themeColor="text1"/>
          <w:sz w:val="28"/>
          <w:szCs w:val="28"/>
          <w:lang w:val="en-US"/>
        </w:rPr>
      </w:pPr>
      <w:r>
        <w:rPr>
          <w:color w:val="000000" w:themeColor="text1"/>
          <w:sz w:val="28"/>
          <w:szCs w:val="28"/>
          <w:lang w:val="en-US"/>
        </w:rPr>
        <w:tab/>
        <w:t>+ Từng mức không quá 10 mg.</w:t>
      </w:r>
    </w:p>
    <w:p w14:paraId="2476C3CA" w14:textId="46707DF4" w:rsidR="00245A69" w:rsidRDefault="00245A69" w:rsidP="00185F16">
      <w:pPr>
        <w:pStyle w:val="NormalWeb"/>
        <w:shd w:val="clear" w:color="auto" w:fill="FFFFFF"/>
        <w:spacing w:before="0" w:beforeAutospacing="0" w:after="150" w:afterAutospacing="0"/>
        <w:rPr>
          <w:color w:val="000000" w:themeColor="text1"/>
          <w:sz w:val="28"/>
          <w:szCs w:val="28"/>
          <w:lang w:val="en-US"/>
        </w:rPr>
      </w:pPr>
      <w:r>
        <w:rPr>
          <w:color w:val="000000" w:themeColor="text1"/>
          <w:sz w:val="28"/>
          <w:szCs w:val="28"/>
          <w:lang w:val="en-US"/>
        </w:rPr>
        <w:tab/>
        <w:t xml:space="preserve">+ Thời gian điều chỉnh liều không </w:t>
      </w:r>
      <w:r w:rsidR="00B34B2E">
        <w:rPr>
          <w:color w:val="000000" w:themeColor="text1"/>
          <w:sz w:val="28"/>
          <w:szCs w:val="28"/>
          <w:lang w:val="en-US"/>
        </w:rPr>
        <w:t>ít hơn 2 tuần.</w:t>
      </w:r>
    </w:p>
    <w:p w14:paraId="1314CBE7" w14:textId="7AB60DD5" w:rsidR="00185F16" w:rsidRPr="002A6567" w:rsidRDefault="00B34B2E" w:rsidP="00185F16">
      <w:pPr>
        <w:pStyle w:val="NormalWeb"/>
        <w:shd w:val="clear" w:color="auto" w:fill="FFFFFF"/>
        <w:spacing w:before="0" w:beforeAutospacing="0" w:after="150" w:afterAutospacing="0"/>
        <w:rPr>
          <w:color w:val="000000" w:themeColor="text1"/>
          <w:sz w:val="28"/>
          <w:szCs w:val="28"/>
          <w:lang w:val="en-US"/>
        </w:rPr>
      </w:pPr>
      <w:r>
        <w:rPr>
          <w:color w:val="000000" w:themeColor="text1"/>
          <w:sz w:val="28"/>
          <w:szCs w:val="28"/>
          <w:lang w:val="en-US"/>
        </w:rPr>
        <w:tab/>
        <w:t>+ Liều tối đa bệnh nhân có thể dung nạp lên tới 35 mg, 1 lần/ngày.</w:t>
      </w:r>
    </w:p>
    <w:p w14:paraId="1FDF1172" w14:textId="7D4DEEC0" w:rsidR="00185F16" w:rsidRPr="00185F16" w:rsidRDefault="00185F16" w:rsidP="00185F16">
      <w:pPr>
        <w:pStyle w:val="NormalWeb"/>
        <w:shd w:val="clear" w:color="auto" w:fill="FFFFFF"/>
        <w:spacing w:before="0" w:beforeAutospacing="0" w:after="150" w:afterAutospacing="0"/>
        <w:rPr>
          <w:color w:val="000000" w:themeColor="text1"/>
          <w:sz w:val="28"/>
          <w:szCs w:val="28"/>
        </w:rPr>
      </w:pPr>
      <w:r w:rsidRPr="00185F16">
        <w:rPr>
          <w:rStyle w:val="Emphasis"/>
          <w:color w:val="000000" w:themeColor="text1"/>
          <w:sz w:val="28"/>
          <w:szCs w:val="28"/>
        </w:rPr>
        <w:t>Nhồi máu cơ tim</w:t>
      </w:r>
      <w:r w:rsidR="002A6567">
        <w:rPr>
          <w:rStyle w:val="Emphasis"/>
          <w:color w:val="000000" w:themeColor="text1"/>
          <w:sz w:val="28"/>
          <w:szCs w:val="28"/>
          <w:lang w:val="en-US"/>
        </w:rPr>
        <w:t xml:space="preserve"> cấp</w:t>
      </w:r>
      <w:r w:rsidRPr="00185F16">
        <w:rPr>
          <w:rStyle w:val="Emphasis"/>
          <w:color w:val="000000" w:themeColor="text1"/>
          <w:sz w:val="28"/>
          <w:szCs w:val="28"/>
        </w:rPr>
        <w:t>:</w:t>
      </w:r>
      <w:r w:rsidRPr="00185F16">
        <w:rPr>
          <w:color w:val="000000" w:themeColor="text1"/>
          <w:sz w:val="28"/>
          <w:szCs w:val="28"/>
        </w:rPr>
        <w:t> Dùng cùng với thuốc tan huyết khối, </w:t>
      </w:r>
      <w:hyperlink r:id="rId8" w:tgtFrame="_blank" w:tooltip="Aspirin" w:history="1">
        <w:r w:rsidRPr="00185F16">
          <w:rPr>
            <w:rStyle w:val="Hyperlink"/>
            <w:color w:val="000000" w:themeColor="text1"/>
            <w:sz w:val="28"/>
            <w:szCs w:val="28"/>
            <w:u w:val="none"/>
          </w:rPr>
          <w:t>Aspirin</w:t>
        </w:r>
      </w:hyperlink>
      <w:r w:rsidRPr="00185F16">
        <w:rPr>
          <w:color w:val="000000" w:themeColor="text1"/>
          <w:sz w:val="28"/>
          <w:szCs w:val="28"/>
        </w:rPr>
        <w:t> và thuốc chẹn beta.</w:t>
      </w:r>
    </w:p>
    <w:p w14:paraId="4BAD028D" w14:textId="4FA406A4" w:rsidR="00185F16" w:rsidRPr="00185F16" w:rsidRDefault="00755554" w:rsidP="00755554">
      <w:pPr>
        <w:pStyle w:val="NormalWeb"/>
        <w:shd w:val="clear" w:color="auto" w:fill="FFFFFF"/>
        <w:spacing w:before="0" w:beforeAutospacing="0" w:after="150" w:afterAutospacing="0"/>
        <w:ind w:firstLine="720"/>
        <w:rPr>
          <w:color w:val="000000" w:themeColor="text1"/>
          <w:sz w:val="28"/>
          <w:szCs w:val="28"/>
        </w:rPr>
      </w:pPr>
      <w:r>
        <w:rPr>
          <w:color w:val="000000" w:themeColor="text1"/>
          <w:sz w:val="28"/>
          <w:szCs w:val="28"/>
          <w:lang w:val="en-US"/>
        </w:rPr>
        <w:t xml:space="preserve">- </w:t>
      </w:r>
      <w:r w:rsidR="00185F16" w:rsidRPr="00185F16">
        <w:rPr>
          <w:color w:val="000000" w:themeColor="text1"/>
          <w:sz w:val="28"/>
          <w:szCs w:val="28"/>
        </w:rPr>
        <w:t>Liều khởi đầu: Dùng 5 mg trong vòng 24 giờ sau khi các triệu chứng của nhồi máu cơ tim xảy ra, tiếp theo sau 24 và 48 giờ dùng liều tương ứng 5 mg và 10 mg.</w:t>
      </w:r>
    </w:p>
    <w:p w14:paraId="4747C7A5" w14:textId="3E97EE07" w:rsidR="00185F16" w:rsidRPr="00185F16" w:rsidRDefault="00755554" w:rsidP="00755554">
      <w:pPr>
        <w:pStyle w:val="NormalWeb"/>
        <w:shd w:val="clear" w:color="auto" w:fill="FFFFFF"/>
        <w:spacing w:before="0" w:beforeAutospacing="0" w:after="150" w:afterAutospacing="0"/>
        <w:ind w:firstLine="720"/>
        <w:rPr>
          <w:color w:val="000000" w:themeColor="text1"/>
          <w:sz w:val="28"/>
          <w:szCs w:val="28"/>
        </w:rPr>
      </w:pPr>
      <w:r>
        <w:rPr>
          <w:color w:val="000000" w:themeColor="text1"/>
          <w:sz w:val="28"/>
          <w:szCs w:val="28"/>
          <w:lang w:val="en-US"/>
        </w:rPr>
        <w:t xml:space="preserve">- </w:t>
      </w:r>
      <w:r w:rsidR="00185F16" w:rsidRPr="00185F16">
        <w:rPr>
          <w:color w:val="000000" w:themeColor="text1"/>
          <w:sz w:val="28"/>
          <w:szCs w:val="28"/>
        </w:rPr>
        <w:t>Liều duy trì 10 mg/ngày, điều trị liên tục trong 6 tuần; nếu có suy cơ tim thì đợt điều trị kéo dài trên 6 tuần.</w:t>
      </w:r>
    </w:p>
    <w:p w14:paraId="27C2D86A" w14:textId="5BC7FF49" w:rsidR="00185F16" w:rsidRPr="00185F16" w:rsidRDefault="00755554" w:rsidP="00185F16">
      <w:pPr>
        <w:pStyle w:val="NormalWeb"/>
        <w:shd w:val="clear" w:color="auto" w:fill="FFFFFF"/>
        <w:spacing w:before="0" w:beforeAutospacing="0" w:after="150" w:afterAutospacing="0"/>
        <w:rPr>
          <w:color w:val="000000" w:themeColor="text1"/>
          <w:sz w:val="28"/>
          <w:szCs w:val="28"/>
        </w:rPr>
      </w:pPr>
      <w:r>
        <w:rPr>
          <w:rStyle w:val="Emphasis"/>
          <w:color w:val="000000" w:themeColor="text1"/>
          <w:sz w:val="28"/>
          <w:szCs w:val="28"/>
          <w:lang w:val="en-US"/>
        </w:rPr>
        <w:t xml:space="preserve">Biến chứng trên thận của bệnh nhân </w:t>
      </w:r>
      <w:r w:rsidR="00185F16" w:rsidRPr="00185F16">
        <w:rPr>
          <w:rStyle w:val="Emphasis"/>
          <w:color w:val="000000" w:themeColor="text1"/>
          <w:sz w:val="28"/>
          <w:szCs w:val="28"/>
        </w:rPr>
        <w:t>đái tháo đường: </w:t>
      </w:r>
      <w:r w:rsidR="00185F16" w:rsidRPr="00185F16">
        <w:rPr>
          <w:color w:val="000000" w:themeColor="text1"/>
          <w:sz w:val="28"/>
          <w:szCs w:val="28"/>
        </w:rPr>
        <w:t>10 mg/ngày, nếu cần thiết tăng đến 20 mg/ngày để đạt tới huyết áp tối thiểu khi ngồi dưới 90 mmHg.</w:t>
      </w:r>
    </w:p>
    <w:p w14:paraId="37720D94" w14:textId="4BD5A4B8" w:rsidR="00592F8A" w:rsidRPr="00185F16" w:rsidRDefault="00592F8A" w:rsidP="00FD0F73">
      <w:pPr>
        <w:shd w:val="clear" w:color="auto" w:fill="FFFFFF"/>
        <w:jc w:val="both"/>
        <w:rPr>
          <w:rFonts w:eastAsia="Times New Roman" w:cs="Times New Roman"/>
          <w:bCs/>
          <w:color w:val="000000" w:themeColor="text1"/>
          <w:szCs w:val="28"/>
          <w:lang w:val="en-US"/>
        </w:rPr>
      </w:pPr>
    </w:p>
    <w:p w14:paraId="37581500" w14:textId="0CBA4C42" w:rsidR="00FD1499" w:rsidRDefault="00FD1499" w:rsidP="00FD1499">
      <w:pPr>
        <w:rPr>
          <w:b/>
          <w:lang w:val="en-US"/>
        </w:rPr>
      </w:pPr>
      <w:r w:rsidRPr="00747039">
        <w:rPr>
          <w:b/>
          <w:lang w:val="en-US"/>
        </w:rPr>
        <w:t>Chống chỉ định:</w:t>
      </w:r>
    </w:p>
    <w:p w14:paraId="18BDDED1" w14:textId="2E0F7155" w:rsidR="001554BE" w:rsidRDefault="00EC46A8" w:rsidP="00FD1499">
      <w:pPr>
        <w:rPr>
          <w:bCs/>
          <w:lang w:val="en-US"/>
        </w:rPr>
      </w:pPr>
      <w:r>
        <w:rPr>
          <w:b/>
          <w:lang w:val="en-US"/>
        </w:rPr>
        <w:tab/>
        <w:t xml:space="preserve">- </w:t>
      </w:r>
      <w:r>
        <w:rPr>
          <w:bCs/>
          <w:lang w:val="en-US"/>
        </w:rPr>
        <w:t xml:space="preserve">Qúa mẫn với lisinopril, với bất kỳ thành phần tá dược nào của thuốc </w:t>
      </w:r>
      <w:r w:rsidR="00740FA6">
        <w:rPr>
          <w:bCs/>
          <w:lang w:val="en-US"/>
        </w:rPr>
        <w:t>hoặc với bất kỳ thuốc ức chế men chuyển angiotensin (ACE) khác.</w:t>
      </w:r>
    </w:p>
    <w:p w14:paraId="1D870F90" w14:textId="11D526AB" w:rsidR="00740FA6" w:rsidRDefault="00740FA6" w:rsidP="00FD1499">
      <w:pPr>
        <w:rPr>
          <w:bCs/>
          <w:lang w:val="en-US"/>
        </w:rPr>
      </w:pPr>
      <w:r>
        <w:rPr>
          <w:bCs/>
          <w:lang w:val="en-US"/>
        </w:rPr>
        <w:tab/>
        <w:t>- Tiền sử phù mạch do dùng các thuốc ức chế men chuyển trước đó.</w:t>
      </w:r>
    </w:p>
    <w:p w14:paraId="6220A15A" w14:textId="369BCFFF" w:rsidR="00740FA6" w:rsidRDefault="00740FA6" w:rsidP="00FD1499">
      <w:pPr>
        <w:rPr>
          <w:bCs/>
          <w:lang w:val="en-US"/>
        </w:rPr>
      </w:pPr>
      <w:r>
        <w:rPr>
          <w:bCs/>
          <w:lang w:val="en-US"/>
        </w:rPr>
        <w:tab/>
        <w:t xml:space="preserve">- </w:t>
      </w:r>
      <w:r w:rsidR="00257377">
        <w:rPr>
          <w:bCs/>
          <w:lang w:val="en-US"/>
        </w:rPr>
        <w:t xml:space="preserve">Chống chỉ định dùng đồng thời lisinopril với liệu pháp sacubitril/valsartan. Không được </w:t>
      </w:r>
      <w:r w:rsidR="006B5E2C">
        <w:rPr>
          <w:bCs/>
          <w:lang w:val="en-US"/>
        </w:rPr>
        <w:t>bắt đầu dùng lisinopril sớm hơn 36 giờ sau liều dùng cuối cùng của sacubitril/valsartan.</w:t>
      </w:r>
    </w:p>
    <w:p w14:paraId="688B0421" w14:textId="33DAE1AC" w:rsidR="006B5E2C" w:rsidRDefault="006B5E2C" w:rsidP="00FD1499">
      <w:pPr>
        <w:rPr>
          <w:bCs/>
          <w:lang w:val="en-US"/>
        </w:rPr>
      </w:pPr>
      <w:r>
        <w:rPr>
          <w:bCs/>
          <w:lang w:val="en-US"/>
        </w:rPr>
        <w:tab/>
        <w:t>- Phù mạch di truyền hoặc vô căn.</w:t>
      </w:r>
    </w:p>
    <w:p w14:paraId="1C9D45FB" w14:textId="33EAA20F" w:rsidR="000942B3" w:rsidRDefault="000942B3" w:rsidP="00FD1499">
      <w:pPr>
        <w:rPr>
          <w:bCs/>
          <w:lang w:val="en-US"/>
        </w:rPr>
      </w:pPr>
      <w:r>
        <w:rPr>
          <w:bCs/>
          <w:lang w:val="en-US"/>
        </w:rPr>
        <w:tab/>
        <w:t>- Phụ nữ có thai o 3 tháng giữa và 3 tháng cuối của thai kỳ.</w:t>
      </w:r>
    </w:p>
    <w:p w14:paraId="06EC7D44" w14:textId="07F22988" w:rsidR="000942B3" w:rsidRPr="00EC46A8" w:rsidRDefault="000942B3" w:rsidP="00FD1499">
      <w:pPr>
        <w:rPr>
          <w:bCs/>
          <w:lang w:val="en-US"/>
        </w:rPr>
      </w:pPr>
      <w:r>
        <w:rPr>
          <w:bCs/>
          <w:lang w:val="en-US"/>
        </w:rPr>
        <w:tab/>
        <w:t>- Chống chỉ định lisinopril đồng thời với các thuốc chứa aliskiren</w:t>
      </w:r>
      <w:r w:rsidR="002177E7">
        <w:rPr>
          <w:bCs/>
          <w:lang w:val="en-US"/>
        </w:rPr>
        <w:t xml:space="preserve"> trên các bệnh nhân đái tháo đường hoặc suy thận (mức lọc cầu thận GFR &lt; 60 ml/phút/1.73m</w:t>
      </w:r>
      <w:r w:rsidR="00F6072F">
        <w:rPr>
          <w:bCs/>
          <w:lang w:val="en-US"/>
        </w:rPr>
        <w:t>2)</w:t>
      </w:r>
    </w:p>
    <w:p w14:paraId="5AA8DA92" w14:textId="55FC2CE5" w:rsidR="000D5D29" w:rsidRDefault="00CA7349" w:rsidP="000D5D29">
      <w:pPr>
        <w:rPr>
          <w:b/>
          <w:color w:val="000000" w:themeColor="text1"/>
          <w:lang w:val="en-US"/>
        </w:rPr>
      </w:pPr>
      <w:r w:rsidRPr="001E4371">
        <w:rPr>
          <w:b/>
          <w:color w:val="000000" w:themeColor="text1"/>
          <w:lang w:val="en-US"/>
        </w:rPr>
        <w:t>Tương tác thuốc:</w:t>
      </w:r>
    </w:p>
    <w:p w14:paraId="67021EEB" w14:textId="7604690F" w:rsidR="005F4061" w:rsidRPr="005F4061" w:rsidRDefault="00A83E89" w:rsidP="00A83E89">
      <w:pPr>
        <w:pStyle w:val="NormalWeb"/>
        <w:shd w:val="clear" w:color="auto" w:fill="FFFFFF"/>
        <w:spacing w:before="0" w:beforeAutospacing="0" w:after="150" w:afterAutospacing="0"/>
        <w:ind w:firstLine="720"/>
        <w:rPr>
          <w:color w:val="000000" w:themeColor="text1"/>
          <w:sz w:val="28"/>
          <w:szCs w:val="28"/>
        </w:rPr>
      </w:pPr>
      <w:r>
        <w:rPr>
          <w:color w:val="000000" w:themeColor="text1"/>
          <w:sz w:val="28"/>
          <w:szCs w:val="28"/>
          <w:lang w:val="en-US"/>
        </w:rPr>
        <w:t xml:space="preserve">- </w:t>
      </w:r>
      <w:r w:rsidR="005F4061" w:rsidRPr="005F4061">
        <w:rPr>
          <w:color w:val="000000" w:themeColor="text1"/>
          <w:sz w:val="28"/>
          <w:szCs w:val="28"/>
        </w:rPr>
        <w:t xml:space="preserve">Các thuốc </w:t>
      </w:r>
      <w:r w:rsidR="005A04E4">
        <w:rPr>
          <w:color w:val="000000" w:themeColor="text1"/>
          <w:sz w:val="28"/>
          <w:szCs w:val="28"/>
          <w:lang w:val="en-US"/>
        </w:rPr>
        <w:t>kích thích giao cảm</w:t>
      </w:r>
      <w:r w:rsidR="005F4061" w:rsidRPr="005F4061">
        <w:rPr>
          <w:color w:val="000000" w:themeColor="text1"/>
          <w:sz w:val="28"/>
          <w:szCs w:val="28"/>
        </w:rPr>
        <w:t xml:space="preserve"> và chống viêm không steroid, có thể làm giảm tác dụng hạ huyết áp của lisinopril.</w:t>
      </w:r>
    </w:p>
    <w:p w14:paraId="576904D9" w14:textId="4D6FC469" w:rsidR="005F4061" w:rsidRPr="00F35221" w:rsidRDefault="00F35221" w:rsidP="00F35221">
      <w:pPr>
        <w:pStyle w:val="NormalWeb"/>
        <w:shd w:val="clear" w:color="auto" w:fill="FFFFFF"/>
        <w:spacing w:before="0" w:beforeAutospacing="0" w:after="150" w:afterAutospacing="0"/>
        <w:ind w:firstLine="720"/>
        <w:rPr>
          <w:color w:val="000000" w:themeColor="text1"/>
          <w:sz w:val="28"/>
          <w:szCs w:val="28"/>
          <w:lang w:val="en-US"/>
        </w:rPr>
      </w:pPr>
      <w:r>
        <w:rPr>
          <w:color w:val="000000" w:themeColor="text1"/>
          <w:sz w:val="28"/>
          <w:szCs w:val="28"/>
          <w:lang w:val="en-US"/>
        </w:rPr>
        <w:t xml:space="preserve">- </w:t>
      </w:r>
      <w:r w:rsidR="005F4061" w:rsidRPr="005F4061">
        <w:rPr>
          <w:color w:val="000000" w:themeColor="text1"/>
          <w:sz w:val="28"/>
          <w:szCs w:val="28"/>
        </w:rPr>
        <w:t>Ciclosporin</w:t>
      </w:r>
      <w:r w:rsidR="00CF624D">
        <w:rPr>
          <w:color w:val="000000" w:themeColor="text1"/>
          <w:sz w:val="28"/>
          <w:szCs w:val="28"/>
          <w:lang w:val="en-US"/>
        </w:rPr>
        <w:t>, Heparin</w:t>
      </w:r>
      <w:r>
        <w:rPr>
          <w:color w:val="000000" w:themeColor="text1"/>
          <w:sz w:val="28"/>
          <w:szCs w:val="28"/>
          <w:lang w:val="en-US"/>
        </w:rPr>
        <w:t xml:space="preserve">: Có thể xảy ra tình trạng tăng kali huyết </w:t>
      </w:r>
      <w:r w:rsidR="003A7591">
        <w:rPr>
          <w:color w:val="000000" w:themeColor="text1"/>
          <w:sz w:val="28"/>
          <w:szCs w:val="28"/>
          <w:lang w:val="en-US"/>
        </w:rPr>
        <w:t>khi dùng đồng thời thuốc ức chế men chuyển với ciclosporin</w:t>
      </w:r>
      <w:r w:rsidR="00CF624D">
        <w:rPr>
          <w:color w:val="000000" w:themeColor="text1"/>
          <w:sz w:val="28"/>
          <w:szCs w:val="28"/>
          <w:lang w:val="en-US"/>
        </w:rPr>
        <w:t>,</w:t>
      </w:r>
      <w:r w:rsidR="00CF624D" w:rsidRPr="00CF624D">
        <w:rPr>
          <w:color w:val="000000" w:themeColor="text1"/>
          <w:sz w:val="28"/>
          <w:szCs w:val="28"/>
          <w:lang w:val="en-US"/>
        </w:rPr>
        <w:t xml:space="preserve"> </w:t>
      </w:r>
      <w:r w:rsidR="00CF624D">
        <w:rPr>
          <w:color w:val="000000" w:themeColor="text1"/>
          <w:sz w:val="28"/>
          <w:szCs w:val="28"/>
          <w:lang w:val="en-US"/>
        </w:rPr>
        <w:t xml:space="preserve">Heparin </w:t>
      </w:r>
      <w:r w:rsidR="003A7591">
        <w:rPr>
          <w:color w:val="000000" w:themeColor="text1"/>
          <w:sz w:val="28"/>
          <w:szCs w:val="28"/>
          <w:lang w:val="en-US"/>
        </w:rPr>
        <w:t>. Nếu phải dùng đồng thời, cần theo dõi nồng độ kali huyết thanh.</w:t>
      </w:r>
    </w:p>
    <w:p w14:paraId="5B1ACC5F" w14:textId="3553E9DC" w:rsidR="005F4061" w:rsidRPr="0080596D" w:rsidRDefault="00904C96" w:rsidP="0080596D">
      <w:pPr>
        <w:pStyle w:val="NormalWeb"/>
        <w:shd w:val="clear" w:color="auto" w:fill="FFFFFF"/>
        <w:spacing w:before="0" w:beforeAutospacing="0" w:after="150" w:afterAutospacing="0"/>
        <w:ind w:firstLine="720"/>
        <w:rPr>
          <w:color w:val="000000" w:themeColor="text1"/>
          <w:sz w:val="28"/>
          <w:szCs w:val="28"/>
          <w:lang w:val="en-US"/>
        </w:rPr>
      </w:pPr>
      <w:r>
        <w:rPr>
          <w:color w:val="000000" w:themeColor="text1"/>
          <w:sz w:val="28"/>
          <w:szCs w:val="28"/>
          <w:lang w:val="en-US"/>
        </w:rPr>
        <w:t xml:space="preserve">- </w:t>
      </w:r>
      <w:r w:rsidR="005F4061" w:rsidRPr="005F4061">
        <w:rPr>
          <w:color w:val="000000" w:themeColor="text1"/>
          <w:sz w:val="28"/>
          <w:szCs w:val="28"/>
        </w:rPr>
        <w:t>Lisinopril có thể làm tăng nồng độ và độc tính của lithi  khi dùng đồng thời.</w:t>
      </w:r>
    </w:p>
    <w:p w14:paraId="2E1F44A2" w14:textId="7217B8DC" w:rsidR="005F4061" w:rsidRPr="005F4061" w:rsidRDefault="0080596D" w:rsidP="0080596D">
      <w:pPr>
        <w:pStyle w:val="NormalWeb"/>
        <w:shd w:val="clear" w:color="auto" w:fill="FFFFFF"/>
        <w:spacing w:before="0" w:beforeAutospacing="0" w:after="150" w:afterAutospacing="0"/>
        <w:ind w:firstLine="720"/>
        <w:rPr>
          <w:color w:val="000000" w:themeColor="text1"/>
          <w:sz w:val="28"/>
          <w:szCs w:val="28"/>
        </w:rPr>
      </w:pPr>
      <w:r>
        <w:rPr>
          <w:color w:val="000000" w:themeColor="text1"/>
          <w:sz w:val="28"/>
          <w:szCs w:val="28"/>
          <w:lang w:val="en-US"/>
        </w:rPr>
        <w:lastRenderedPageBreak/>
        <w:t xml:space="preserve">- </w:t>
      </w:r>
      <w:r w:rsidR="005F4061" w:rsidRPr="005F4061">
        <w:rPr>
          <w:color w:val="000000" w:themeColor="text1"/>
          <w:sz w:val="28"/>
          <w:szCs w:val="28"/>
        </w:rPr>
        <w:t>Các thuốc lợi tiểu làm tăng tác dụng hạ huyết áp.</w:t>
      </w:r>
    </w:p>
    <w:p w14:paraId="0098D8D1" w14:textId="72D30DC2" w:rsidR="005F4061" w:rsidRDefault="0080596D" w:rsidP="005F4061">
      <w:pPr>
        <w:pStyle w:val="NormalWeb"/>
        <w:shd w:val="clear" w:color="auto" w:fill="FFFFFF"/>
        <w:spacing w:before="0" w:beforeAutospacing="0" w:after="150" w:afterAutospacing="0"/>
        <w:rPr>
          <w:bCs/>
          <w:sz w:val="28"/>
          <w:szCs w:val="28"/>
          <w:lang w:val="en-US"/>
        </w:rPr>
      </w:pPr>
      <w:r>
        <w:rPr>
          <w:color w:val="000000" w:themeColor="text1"/>
          <w:sz w:val="28"/>
          <w:szCs w:val="28"/>
          <w:lang w:val="en-US"/>
        </w:rPr>
        <w:tab/>
        <w:t xml:space="preserve">- </w:t>
      </w:r>
      <w:r w:rsidR="00B051DC">
        <w:rPr>
          <w:color w:val="000000" w:themeColor="text1"/>
          <w:sz w:val="28"/>
          <w:szCs w:val="28"/>
          <w:lang w:val="en-US"/>
        </w:rPr>
        <w:t xml:space="preserve">Thuốc làm tăng nguy cơ phù mạch: Chống chỉ định dùng đồng thời thuốc ức chế men chuyển với </w:t>
      </w:r>
      <w:r w:rsidR="00B051DC" w:rsidRPr="00E7550F">
        <w:rPr>
          <w:bCs/>
          <w:sz w:val="28"/>
          <w:szCs w:val="28"/>
          <w:lang w:val="en-US"/>
        </w:rPr>
        <w:t>sacubitril/valsartan do làm tăng nguy cơ phù mạch</w:t>
      </w:r>
      <w:r w:rsidR="00E7550F">
        <w:rPr>
          <w:bCs/>
          <w:sz w:val="28"/>
          <w:szCs w:val="28"/>
          <w:lang w:val="en-US"/>
        </w:rPr>
        <w:t>.</w:t>
      </w:r>
    </w:p>
    <w:p w14:paraId="759C64DB" w14:textId="0BFC7D9D" w:rsidR="005F4061" w:rsidRPr="005F4061" w:rsidRDefault="00E7550F" w:rsidP="002C03F5">
      <w:pPr>
        <w:pStyle w:val="NormalWeb"/>
        <w:shd w:val="clear" w:color="auto" w:fill="FFFFFF"/>
        <w:spacing w:before="0" w:beforeAutospacing="0" w:after="150" w:afterAutospacing="0"/>
        <w:rPr>
          <w:b/>
          <w:color w:val="000000" w:themeColor="text1"/>
          <w:szCs w:val="28"/>
          <w:lang w:val="en-US"/>
        </w:rPr>
      </w:pPr>
      <w:r>
        <w:rPr>
          <w:bCs/>
          <w:sz w:val="28"/>
          <w:szCs w:val="28"/>
          <w:lang w:val="en-US"/>
        </w:rPr>
        <w:tab/>
        <w:t xml:space="preserve">- </w:t>
      </w:r>
      <w:r w:rsidR="00A33DB2">
        <w:rPr>
          <w:bCs/>
          <w:sz w:val="28"/>
          <w:szCs w:val="28"/>
          <w:lang w:val="en-US"/>
        </w:rPr>
        <w:t>Thuốc điều trị tăng huyết áp: Khi sử dụng đồng thời lisinopril với các thuốc điều trị tăng huyết áp khác như (glycerin</w:t>
      </w:r>
      <w:r w:rsidR="00EC4618">
        <w:rPr>
          <w:bCs/>
          <w:sz w:val="28"/>
          <w:szCs w:val="28"/>
          <w:lang w:val="en-US"/>
        </w:rPr>
        <w:t xml:space="preserve"> trinitrat và các nitrat khác, hoặc các thuốc giãn mạch khác), có thể xuất hiện tác dụng hiệp đồng gây hạ huyết áp.</w:t>
      </w:r>
    </w:p>
    <w:p w14:paraId="3B3A1DA3" w14:textId="029C9333" w:rsidR="00E324FC" w:rsidRDefault="00E324FC" w:rsidP="00DD6C20">
      <w:pPr>
        <w:spacing w:before="199" w:after="199"/>
        <w:jc w:val="both"/>
        <w:outlineLvl w:val="1"/>
        <w:rPr>
          <w:rFonts w:eastAsia="Times New Roman" w:cs="Times New Roman"/>
          <w:b/>
          <w:bCs/>
          <w:color w:val="800000"/>
          <w:szCs w:val="28"/>
          <w:lang w:val="en-US"/>
        </w:rPr>
      </w:pPr>
      <w:r w:rsidRPr="001E4371">
        <w:rPr>
          <w:rFonts w:eastAsia="Times New Roman" w:cs="Times New Roman"/>
          <w:b/>
          <w:bCs/>
          <w:color w:val="000000" w:themeColor="text1"/>
          <w:szCs w:val="28"/>
          <w:lang w:val="en-US"/>
        </w:rPr>
        <w:t>Tác dụng phụ:</w:t>
      </w:r>
      <w:r w:rsidR="00DD6C20" w:rsidRPr="00DD6C20">
        <w:rPr>
          <w:rFonts w:eastAsia="Times New Roman" w:cs="Times New Roman"/>
          <w:b/>
          <w:bCs/>
          <w:color w:val="800000"/>
          <w:szCs w:val="28"/>
          <w:lang w:val="en-US"/>
        </w:rPr>
        <w:t xml:space="preserve"> </w:t>
      </w:r>
    </w:p>
    <w:p w14:paraId="7D8949D2" w14:textId="72F21898" w:rsidR="002E5A7A" w:rsidRPr="002E5A7A" w:rsidRDefault="004C43F5" w:rsidP="004C43F5">
      <w:pPr>
        <w:pStyle w:val="NormalWeb"/>
        <w:shd w:val="clear" w:color="auto" w:fill="FFFFFF"/>
        <w:spacing w:before="0" w:beforeAutospacing="0" w:after="150" w:afterAutospacing="0"/>
        <w:ind w:firstLine="720"/>
        <w:rPr>
          <w:color w:val="000000" w:themeColor="text1"/>
          <w:sz w:val="28"/>
          <w:szCs w:val="28"/>
        </w:rPr>
      </w:pPr>
      <w:r>
        <w:rPr>
          <w:rStyle w:val="Emphasis"/>
          <w:color w:val="000000" w:themeColor="text1"/>
          <w:sz w:val="28"/>
          <w:szCs w:val="28"/>
          <w:lang w:val="en-US"/>
        </w:rPr>
        <w:t xml:space="preserve">- </w:t>
      </w:r>
      <w:r w:rsidR="002E5A7A" w:rsidRPr="002E5A7A">
        <w:rPr>
          <w:rStyle w:val="Emphasis"/>
          <w:color w:val="000000" w:themeColor="text1"/>
          <w:sz w:val="28"/>
          <w:szCs w:val="28"/>
        </w:rPr>
        <w:t>Thường gặp</w:t>
      </w:r>
      <w:r w:rsidR="002E5A7A">
        <w:rPr>
          <w:rStyle w:val="Emphasis"/>
          <w:color w:val="000000" w:themeColor="text1"/>
          <w:sz w:val="28"/>
          <w:szCs w:val="28"/>
          <w:lang w:val="en-US"/>
        </w:rPr>
        <w:t xml:space="preserve">: </w:t>
      </w:r>
      <w:r w:rsidR="002E5A7A" w:rsidRPr="002E5A7A">
        <w:rPr>
          <w:color w:val="000000" w:themeColor="text1"/>
          <w:sz w:val="28"/>
          <w:szCs w:val="28"/>
        </w:rPr>
        <w:t>đau đầu, </w:t>
      </w:r>
      <w:hyperlink r:id="rId9" w:tgtFrame="_blank" w:tooltip="chóng mặt" w:history="1">
        <w:r w:rsidR="002E5A7A" w:rsidRPr="002E5A7A">
          <w:rPr>
            <w:rStyle w:val="Hyperlink"/>
            <w:color w:val="000000" w:themeColor="text1"/>
            <w:sz w:val="28"/>
            <w:szCs w:val="28"/>
            <w:u w:val="none"/>
          </w:rPr>
          <w:t>chóng mặt</w:t>
        </w:r>
      </w:hyperlink>
      <w:r w:rsidR="002E5A7A" w:rsidRPr="002E5A7A">
        <w:rPr>
          <w:color w:val="000000" w:themeColor="text1"/>
          <w:sz w:val="28"/>
          <w:szCs w:val="28"/>
        </w:rPr>
        <w:t>,</w:t>
      </w:r>
      <w:r w:rsidR="005239C0">
        <w:rPr>
          <w:color w:val="000000" w:themeColor="text1"/>
          <w:sz w:val="28"/>
          <w:szCs w:val="28"/>
          <w:lang w:val="en-US"/>
        </w:rPr>
        <w:t xml:space="preserve"> </w:t>
      </w:r>
      <w:r w:rsidR="002E5A7A" w:rsidRPr="002E5A7A">
        <w:rPr>
          <w:color w:val="000000" w:themeColor="text1"/>
          <w:sz w:val="28"/>
          <w:szCs w:val="28"/>
        </w:rPr>
        <w:t>ho</w:t>
      </w:r>
      <w:r w:rsidR="005239C0">
        <w:rPr>
          <w:color w:val="000000" w:themeColor="text1"/>
          <w:sz w:val="28"/>
          <w:szCs w:val="28"/>
          <w:lang w:val="en-US"/>
        </w:rPr>
        <w:t>, tiêu chảy, nôn</w:t>
      </w:r>
      <w:r w:rsidR="00A036FF">
        <w:rPr>
          <w:color w:val="000000" w:themeColor="text1"/>
          <w:sz w:val="28"/>
          <w:szCs w:val="28"/>
          <w:lang w:val="en-US"/>
        </w:rPr>
        <w:t>, rối loạn chức năng thận</w:t>
      </w:r>
      <w:r w:rsidR="002E5A7A" w:rsidRPr="002E5A7A">
        <w:rPr>
          <w:color w:val="000000" w:themeColor="text1"/>
          <w:sz w:val="28"/>
          <w:szCs w:val="28"/>
        </w:rPr>
        <w:t>.</w:t>
      </w:r>
    </w:p>
    <w:p w14:paraId="5F2A8910" w14:textId="4CE5A5E1" w:rsidR="002E5A7A" w:rsidRPr="008E08F2" w:rsidRDefault="004C43F5" w:rsidP="004C43F5">
      <w:pPr>
        <w:pStyle w:val="NormalWeb"/>
        <w:shd w:val="clear" w:color="auto" w:fill="FFFFFF"/>
        <w:spacing w:before="0" w:beforeAutospacing="0" w:after="150" w:afterAutospacing="0"/>
        <w:ind w:firstLine="720"/>
        <w:rPr>
          <w:i/>
          <w:iCs/>
          <w:color w:val="000000" w:themeColor="text1"/>
          <w:sz w:val="28"/>
          <w:szCs w:val="28"/>
          <w:lang w:val="en-US"/>
        </w:rPr>
      </w:pPr>
      <w:r>
        <w:rPr>
          <w:rStyle w:val="Emphasis"/>
          <w:color w:val="000000" w:themeColor="text1"/>
          <w:sz w:val="28"/>
          <w:szCs w:val="28"/>
          <w:lang w:val="en-US"/>
        </w:rPr>
        <w:t xml:space="preserve">- </w:t>
      </w:r>
      <w:r w:rsidR="002E5A7A" w:rsidRPr="002E5A7A">
        <w:rPr>
          <w:rStyle w:val="Emphasis"/>
          <w:color w:val="000000" w:themeColor="text1"/>
          <w:sz w:val="28"/>
          <w:szCs w:val="28"/>
        </w:rPr>
        <w:t>Ít gặp</w:t>
      </w:r>
      <w:r w:rsidR="00A036FF">
        <w:rPr>
          <w:rStyle w:val="Emphasis"/>
          <w:color w:val="000000" w:themeColor="text1"/>
          <w:sz w:val="28"/>
          <w:szCs w:val="28"/>
          <w:lang w:val="en-US"/>
        </w:rPr>
        <w:t xml:space="preserve">: </w:t>
      </w:r>
      <w:r w:rsidR="00A036FF" w:rsidRPr="008E08F2">
        <w:rPr>
          <w:rStyle w:val="Emphasis"/>
          <w:i w:val="0"/>
          <w:iCs w:val="0"/>
          <w:color w:val="000000" w:themeColor="text1"/>
          <w:sz w:val="28"/>
          <w:szCs w:val="28"/>
          <w:lang w:val="en-US"/>
        </w:rPr>
        <w:t>Thay đổi tâm trạng, dị cảm, chóng mặt, rối loạn vị giác</w:t>
      </w:r>
      <w:r w:rsidR="00813D8E" w:rsidRPr="008E08F2">
        <w:rPr>
          <w:rStyle w:val="Emphasis"/>
          <w:i w:val="0"/>
          <w:iCs w:val="0"/>
          <w:color w:val="000000" w:themeColor="text1"/>
          <w:sz w:val="28"/>
          <w:szCs w:val="28"/>
          <w:lang w:val="en-US"/>
        </w:rPr>
        <w:t>, viêm mũi, buồn nôn</w:t>
      </w:r>
      <w:r w:rsidR="008E08F2" w:rsidRPr="008E08F2">
        <w:rPr>
          <w:rStyle w:val="Emphasis"/>
          <w:i w:val="0"/>
          <w:iCs w:val="0"/>
          <w:color w:val="000000" w:themeColor="text1"/>
          <w:sz w:val="28"/>
          <w:szCs w:val="28"/>
          <w:lang w:val="en-US"/>
        </w:rPr>
        <w:t>, đau bụng khó tiêu, phát ban, ngứa, mệt mỏi suy nhược.</w:t>
      </w:r>
    </w:p>
    <w:p w14:paraId="31C4A4B9" w14:textId="6B5CE8CF" w:rsidR="00770E90" w:rsidRDefault="004C43F5" w:rsidP="004C43F5">
      <w:pPr>
        <w:pStyle w:val="NormalWeb"/>
        <w:shd w:val="clear" w:color="auto" w:fill="FFFFFF"/>
        <w:spacing w:before="0" w:beforeAutospacing="0" w:after="150" w:afterAutospacing="0"/>
        <w:ind w:firstLine="720"/>
        <w:rPr>
          <w:b/>
          <w:bCs/>
          <w:color w:val="800000"/>
          <w:szCs w:val="28"/>
          <w:lang w:val="en-US"/>
        </w:rPr>
      </w:pPr>
      <w:r>
        <w:rPr>
          <w:rStyle w:val="Emphasis"/>
          <w:color w:val="000000" w:themeColor="text1"/>
          <w:sz w:val="28"/>
          <w:szCs w:val="28"/>
          <w:lang w:val="en-US"/>
        </w:rPr>
        <w:t xml:space="preserve">- </w:t>
      </w:r>
      <w:r w:rsidR="002E5A7A" w:rsidRPr="002E5A7A">
        <w:rPr>
          <w:rStyle w:val="Emphasis"/>
          <w:color w:val="000000" w:themeColor="text1"/>
          <w:sz w:val="28"/>
          <w:szCs w:val="28"/>
        </w:rPr>
        <w:t>Hiếm gặp</w:t>
      </w:r>
      <w:r w:rsidR="008E08F2">
        <w:rPr>
          <w:rStyle w:val="Emphasis"/>
          <w:color w:val="000000" w:themeColor="text1"/>
          <w:sz w:val="28"/>
          <w:szCs w:val="28"/>
          <w:lang w:val="en-US"/>
        </w:rPr>
        <w:t xml:space="preserve">: </w:t>
      </w:r>
      <w:r w:rsidR="0001324B">
        <w:rPr>
          <w:rStyle w:val="Emphasis"/>
          <w:i w:val="0"/>
          <w:iCs w:val="0"/>
          <w:color w:val="000000" w:themeColor="text1"/>
          <w:sz w:val="28"/>
          <w:szCs w:val="28"/>
          <w:lang w:val="en-US"/>
        </w:rPr>
        <w:t xml:space="preserve">Rối loạn tâm thần, giảm hemoglobin, khô miệng, </w:t>
      </w:r>
      <w:r w:rsidR="005A74F5">
        <w:rPr>
          <w:rStyle w:val="Emphasis"/>
          <w:i w:val="0"/>
          <w:iCs w:val="0"/>
          <w:color w:val="000000" w:themeColor="text1"/>
          <w:sz w:val="28"/>
          <w:szCs w:val="28"/>
          <w:lang w:val="en-US"/>
        </w:rPr>
        <w:t>mày đay rụng tóc, vảy nến, quá mẫn/phù thần kinh – mạch</w:t>
      </w:r>
      <w:r>
        <w:rPr>
          <w:rStyle w:val="Emphasis"/>
          <w:i w:val="0"/>
          <w:iCs w:val="0"/>
          <w:color w:val="000000" w:themeColor="text1"/>
          <w:sz w:val="28"/>
          <w:szCs w:val="28"/>
          <w:lang w:val="en-US"/>
        </w:rPr>
        <w:t>.</w:t>
      </w:r>
    </w:p>
    <w:p w14:paraId="3F8FC6C3" w14:textId="7A29A7BF" w:rsidR="00A30D01" w:rsidRDefault="00A30D01" w:rsidP="00A30D01">
      <w:pPr>
        <w:rPr>
          <w:b/>
          <w:lang w:val="en-US"/>
        </w:rPr>
      </w:pPr>
      <w:r w:rsidRPr="00747039">
        <w:rPr>
          <w:b/>
          <w:lang w:val="en-US"/>
        </w:rPr>
        <w:t>Thận trọng:</w:t>
      </w:r>
    </w:p>
    <w:p w14:paraId="090CA5BA" w14:textId="2330A3D3" w:rsidR="003B53E0" w:rsidRPr="009C686B" w:rsidRDefault="004C43F5" w:rsidP="004C43F5">
      <w:pPr>
        <w:pStyle w:val="NormalWeb"/>
        <w:shd w:val="clear" w:color="auto" w:fill="FFFFFF"/>
        <w:spacing w:before="0" w:beforeAutospacing="0" w:after="150" w:afterAutospacing="0"/>
        <w:ind w:firstLine="720"/>
        <w:rPr>
          <w:color w:val="000000" w:themeColor="text1"/>
          <w:sz w:val="28"/>
          <w:szCs w:val="28"/>
          <w:lang w:val="en-US"/>
        </w:rPr>
      </w:pPr>
      <w:r>
        <w:rPr>
          <w:color w:val="000000" w:themeColor="text1"/>
          <w:sz w:val="28"/>
          <w:szCs w:val="28"/>
          <w:lang w:val="en-US"/>
        </w:rPr>
        <w:t xml:space="preserve">- </w:t>
      </w:r>
      <w:r w:rsidR="003B53E0" w:rsidRPr="003B53E0">
        <w:rPr>
          <w:color w:val="000000" w:themeColor="text1"/>
          <w:sz w:val="28"/>
          <w:szCs w:val="28"/>
        </w:rPr>
        <w:t>Người có bệnh thận từ trước hoặc dùng liều cao cần phải theo dõi protein niệu.</w:t>
      </w:r>
      <w:r w:rsidR="009C686B" w:rsidRPr="009C686B">
        <w:rPr>
          <w:color w:val="000000" w:themeColor="text1"/>
          <w:sz w:val="28"/>
          <w:szCs w:val="28"/>
          <w:lang w:val="en-US"/>
        </w:rPr>
        <w:t xml:space="preserve"> </w:t>
      </w:r>
    </w:p>
    <w:p w14:paraId="5C94CC4F" w14:textId="1C2BE571" w:rsidR="008707AD" w:rsidRDefault="004C43F5" w:rsidP="004C43F5">
      <w:pPr>
        <w:pStyle w:val="NormalWeb"/>
        <w:shd w:val="clear" w:color="auto" w:fill="FFFFFF"/>
        <w:spacing w:before="0" w:beforeAutospacing="0" w:after="150" w:afterAutospacing="0"/>
        <w:ind w:firstLine="720"/>
        <w:rPr>
          <w:color w:val="000000" w:themeColor="text1"/>
          <w:sz w:val="28"/>
          <w:szCs w:val="28"/>
          <w:lang w:val="en-US"/>
        </w:rPr>
      </w:pPr>
      <w:r>
        <w:rPr>
          <w:color w:val="000000" w:themeColor="text1"/>
          <w:sz w:val="28"/>
          <w:szCs w:val="28"/>
          <w:lang w:val="en-US"/>
        </w:rPr>
        <w:t xml:space="preserve">- </w:t>
      </w:r>
      <w:r w:rsidR="003B53E0" w:rsidRPr="003B53E0">
        <w:rPr>
          <w:color w:val="000000" w:themeColor="text1"/>
          <w:sz w:val="28"/>
          <w:szCs w:val="28"/>
        </w:rPr>
        <w:t xml:space="preserve">Người bị suy tim hoặc người có nhiều khả năng mất muối và nước có thể bị hạ huyết áp triệu chứng trong giai đoạn đầu điều trị bằng thuốc ức chế enzym chuyển. Có thể giảm thiểu triệu chứng này bằng cách cho liều khởi đầu thấp và nên cho lúc đi ngủ. </w:t>
      </w:r>
    </w:p>
    <w:p w14:paraId="54F772EC" w14:textId="6DD4BF65" w:rsidR="005A74F5" w:rsidRDefault="004C43F5" w:rsidP="007C6A99">
      <w:pPr>
        <w:pStyle w:val="NormalWeb"/>
        <w:shd w:val="clear" w:color="auto" w:fill="FFFFFF"/>
        <w:spacing w:before="0" w:beforeAutospacing="0" w:after="150" w:afterAutospacing="0"/>
        <w:ind w:firstLine="720"/>
        <w:rPr>
          <w:b/>
          <w:lang w:val="en-US"/>
        </w:rPr>
      </w:pPr>
      <w:r>
        <w:rPr>
          <w:color w:val="000000" w:themeColor="text1"/>
          <w:sz w:val="28"/>
          <w:szCs w:val="28"/>
          <w:lang w:val="en-US"/>
        </w:rPr>
        <w:t xml:space="preserve">- </w:t>
      </w:r>
      <w:r w:rsidR="003B53E0" w:rsidRPr="003B53E0">
        <w:rPr>
          <w:color w:val="000000" w:themeColor="text1"/>
          <w:sz w:val="28"/>
          <w:szCs w:val="28"/>
        </w:rPr>
        <w:t>Vì nồng độ kali huyết có thể tăng trong khi điều trị bằng thuốc ức chế enzym chuyển, nên cần phải thận trọng khi dùng các thuốc lợi tiểu giữ kali, hoặc khi bổ sung thêm kali.</w:t>
      </w:r>
    </w:p>
    <w:p w14:paraId="0FF00E3C" w14:textId="594D17A2" w:rsidR="00A30D01" w:rsidRDefault="00A30D01" w:rsidP="00F93D68">
      <w:pPr>
        <w:rPr>
          <w:b/>
          <w:lang w:val="en-US"/>
        </w:rPr>
      </w:pPr>
      <w:r w:rsidRPr="00747039">
        <w:rPr>
          <w:b/>
          <w:lang w:val="en-US"/>
        </w:rPr>
        <w:t>Phụ nữ mang thai</w:t>
      </w:r>
      <w:r w:rsidR="005E534B">
        <w:rPr>
          <w:b/>
          <w:lang w:val="en-US"/>
        </w:rPr>
        <w:t xml:space="preserve"> và cho con bú</w:t>
      </w:r>
      <w:r w:rsidRPr="00747039">
        <w:rPr>
          <w:b/>
          <w:lang w:val="en-US"/>
        </w:rPr>
        <w:t>:</w:t>
      </w:r>
    </w:p>
    <w:p w14:paraId="7D90855A" w14:textId="73B073C7" w:rsidR="00085A3B" w:rsidRPr="00F075B9" w:rsidRDefault="00F075B9" w:rsidP="00F075B9">
      <w:pPr>
        <w:ind w:firstLine="720"/>
        <w:rPr>
          <w:bCs/>
          <w:lang w:val="en-US"/>
        </w:rPr>
      </w:pPr>
      <w:r>
        <w:rPr>
          <w:bCs/>
          <w:lang w:val="en-US"/>
        </w:rPr>
        <w:t xml:space="preserve">- </w:t>
      </w:r>
      <w:r w:rsidR="00FC70FF" w:rsidRPr="00F075B9">
        <w:rPr>
          <w:bCs/>
          <w:lang w:val="en-US"/>
        </w:rPr>
        <w:t>Phụ nữ có thai</w:t>
      </w:r>
      <w:r w:rsidR="00055DB9" w:rsidRPr="00F075B9">
        <w:rPr>
          <w:bCs/>
          <w:lang w:val="en-US"/>
        </w:rPr>
        <w:t xml:space="preserve">: Không khuyến cáo sử dụng thuốc ức chế men chuyển trong 3 tháng đầu của thai kỳ. </w:t>
      </w:r>
      <w:r w:rsidR="00EC5241" w:rsidRPr="00F075B9">
        <w:rPr>
          <w:bCs/>
          <w:lang w:val="en-US"/>
        </w:rPr>
        <w:t xml:space="preserve">Chống chỉ định sử dụng thuốc </w:t>
      </w:r>
      <w:r w:rsidR="004A668B" w:rsidRPr="00F075B9">
        <w:rPr>
          <w:bCs/>
          <w:lang w:val="en-US"/>
        </w:rPr>
        <w:t>ức chế men chuyển trong 3 tháng giữa và 3 tháng cuối của thai kỳ</w:t>
      </w:r>
      <w:r w:rsidRPr="00F075B9">
        <w:rPr>
          <w:bCs/>
          <w:lang w:val="en-US"/>
        </w:rPr>
        <w:t>.</w:t>
      </w:r>
    </w:p>
    <w:p w14:paraId="148D9730" w14:textId="24C09345" w:rsidR="0068307C" w:rsidRPr="00F075B9" w:rsidRDefault="00F075B9" w:rsidP="00F075B9">
      <w:pPr>
        <w:ind w:firstLine="720"/>
        <w:rPr>
          <w:bCs/>
          <w:color w:val="000000"/>
          <w:shd w:val="clear" w:color="auto" w:fill="FFFFFF"/>
          <w:lang w:val="en-US"/>
        </w:rPr>
      </w:pPr>
      <w:r>
        <w:rPr>
          <w:bCs/>
          <w:lang w:val="en-US"/>
        </w:rPr>
        <w:t xml:space="preserve">- </w:t>
      </w:r>
      <w:r w:rsidR="00743CB3" w:rsidRPr="00F075B9">
        <w:rPr>
          <w:bCs/>
          <w:lang w:val="en-US"/>
        </w:rPr>
        <w:t xml:space="preserve">Phụ nữ đang cho con bú : </w:t>
      </w:r>
      <w:r w:rsidR="007E23A5" w:rsidRPr="00F075B9">
        <w:rPr>
          <w:bCs/>
          <w:lang w:val="en-US"/>
        </w:rPr>
        <w:t xml:space="preserve">Không </w:t>
      </w:r>
      <w:r w:rsidR="001B0DCE">
        <w:rPr>
          <w:bCs/>
          <w:lang w:val="en-US"/>
        </w:rPr>
        <w:t>khuyến cáo dùng thuốc trên phụ nữ cho con bú</w:t>
      </w:r>
      <w:r w:rsidR="00E711EF">
        <w:rPr>
          <w:bCs/>
          <w:lang w:val="en-US"/>
        </w:rPr>
        <w:t>.</w:t>
      </w:r>
    </w:p>
    <w:p w14:paraId="30AAF92A" w14:textId="0ADE840E" w:rsidR="00211A23" w:rsidRPr="00211A23" w:rsidRDefault="00211A23" w:rsidP="00C25853">
      <w:pPr>
        <w:rPr>
          <w:bCs/>
          <w:color w:val="000000"/>
          <w:shd w:val="clear" w:color="auto" w:fill="FFFFFF"/>
          <w:lang w:val="en-US"/>
        </w:rPr>
      </w:pPr>
    </w:p>
    <w:p w14:paraId="24F300A2" w14:textId="36FAD858" w:rsidR="001E7C7F" w:rsidRDefault="001E7C7F" w:rsidP="00267E71">
      <w:pPr>
        <w:rPr>
          <w:lang w:val="en-US"/>
        </w:rPr>
      </w:pPr>
      <w:r w:rsidRPr="001E7C7F">
        <w:rPr>
          <w:b/>
          <w:u w:val="single"/>
          <w:lang w:val="en-US"/>
        </w:rPr>
        <w:t>Đơn giá:</w:t>
      </w:r>
      <w:r>
        <w:rPr>
          <w:lang w:val="en-US"/>
        </w:rPr>
        <w:t xml:space="preserve"> </w:t>
      </w:r>
      <w:r w:rsidR="006F2FD9">
        <w:rPr>
          <w:lang w:val="en-US"/>
        </w:rPr>
        <w:t xml:space="preserve"> </w:t>
      </w:r>
      <w:r w:rsidR="007E23A5" w:rsidRPr="004F2BBD">
        <w:rPr>
          <w:b/>
          <w:bCs/>
          <w:lang w:val="en-US"/>
        </w:rPr>
        <w:t>2</w:t>
      </w:r>
      <w:r w:rsidR="006B1F1C">
        <w:rPr>
          <w:b/>
          <w:bCs/>
          <w:lang w:val="en-US"/>
        </w:rPr>
        <w:t>.100</w:t>
      </w:r>
      <w:r w:rsidRPr="004F2BBD">
        <w:rPr>
          <w:b/>
          <w:bCs/>
          <w:lang w:val="en-US"/>
        </w:rPr>
        <w:t xml:space="preserve"> đồng/ viên.</w:t>
      </w:r>
    </w:p>
    <w:p w14:paraId="196C1168" w14:textId="0001AE22" w:rsidR="001E7C7F" w:rsidRPr="004F2BBD" w:rsidRDefault="00E711EF" w:rsidP="001E7C7F">
      <w:pPr>
        <w:jc w:val="center"/>
        <w:rPr>
          <w:b/>
          <w:i/>
          <w:iCs/>
          <w:lang w:val="en-US"/>
        </w:rPr>
      </w:pPr>
      <w:r>
        <w:rPr>
          <w:b/>
          <w:i/>
          <w:iCs/>
          <w:lang w:val="en-US"/>
        </w:rPr>
        <w:t xml:space="preserve">                                                                  </w:t>
      </w:r>
      <w:r w:rsidR="001E7C7F" w:rsidRPr="004F2BBD">
        <w:rPr>
          <w:b/>
          <w:i/>
          <w:iCs/>
          <w:lang w:val="en-US"/>
        </w:rPr>
        <w:t>DS</w:t>
      </w:r>
      <w:r w:rsidR="007E23A5" w:rsidRPr="004F2BBD">
        <w:rPr>
          <w:b/>
          <w:i/>
          <w:iCs/>
          <w:lang w:val="en-US"/>
        </w:rPr>
        <w:t>.</w:t>
      </w:r>
      <w:r>
        <w:rPr>
          <w:b/>
          <w:i/>
          <w:iCs/>
          <w:lang w:val="en-US"/>
        </w:rPr>
        <w:t xml:space="preserve"> Nguyễn Thị Hường</w:t>
      </w:r>
    </w:p>
    <w:sectPr w:rsidR="001E7C7F" w:rsidRPr="004F2BBD" w:rsidSect="00B30F12">
      <w:pgSz w:w="11906" w:h="16838"/>
      <w:pgMar w:top="851" w:right="85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74B85"/>
    <w:multiLevelType w:val="hybridMultilevel"/>
    <w:tmpl w:val="D14A91DE"/>
    <w:lvl w:ilvl="0" w:tplc="B82C0094">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24B4984"/>
    <w:multiLevelType w:val="hybridMultilevel"/>
    <w:tmpl w:val="19AA091E"/>
    <w:lvl w:ilvl="0" w:tplc="B82C0094">
      <w:numFmt w:val="bullet"/>
      <w:lvlText w:val="-"/>
      <w:lvlJc w:val="left"/>
      <w:pPr>
        <w:ind w:left="1440" w:hanging="360"/>
      </w:pPr>
      <w:rPr>
        <w:rFonts w:ascii="Times New Roman" w:eastAsiaTheme="minorHAnsi" w:hAnsi="Times New Roman" w:cs="Times New Roman" w:hint="default"/>
        <w:color w:val="auto"/>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15:restartNumberingAfterBreak="0">
    <w:nsid w:val="2C8A6038"/>
    <w:multiLevelType w:val="hybridMultilevel"/>
    <w:tmpl w:val="016858E0"/>
    <w:lvl w:ilvl="0" w:tplc="B82C0094">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79E777D"/>
    <w:multiLevelType w:val="hybridMultilevel"/>
    <w:tmpl w:val="AFE092A8"/>
    <w:lvl w:ilvl="0" w:tplc="B82C0094">
      <w:numFmt w:val="bullet"/>
      <w:lvlText w:val="-"/>
      <w:lvlJc w:val="left"/>
      <w:pPr>
        <w:ind w:left="1440" w:hanging="360"/>
      </w:pPr>
      <w:rPr>
        <w:rFonts w:ascii="Times New Roman" w:eastAsiaTheme="minorHAnsi" w:hAnsi="Times New Roman" w:cs="Times New Roman" w:hint="default"/>
        <w:color w:val="auto"/>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15:restartNumberingAfterBreak="0">
    <w:nsid w:val="5478413A"/>
    <w:multiLevelType w:val="hybridMultilevel"/>
    <w:tmpl w:val="80361C76"/>
    <w:lvl w:ilvl="0" w:tplc="424E203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0613DF9"/>
    <w:multiLevelType w:val="hybridMultilevel"/>
    <w:tmpl w:val="7E5AC8FC"/>
    <w:lvl w:ilvl="0" w:tplc="B82C0094">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23B0677"/>
    <w:multiLevelType w:val="hybridMultilevel"/>
    <w:tmpl w:val="8B84C17E"/>
    <w:lvl w:ilvl="0" w:tplc="B82C0094">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870261256">
    <w:abstractNumId w:val="4"/>
  </w:num>
  <w:num w:numId="2" w16cid:durableId="154221416">
    <w:abstractNumId w:val="6"/>
  </w:num>
  <w:num w:numId="3" w16cid:durableId="989408876">
    <w:abstractNumId w:val="2"/>
  </w:num>
  <w:num w:numId="4" w16cid:durableId="1483546635">
    <w:abstractNumId w:val="0"/>
  </w:num>
  <w:num w:numId="5" w16cid:durableId="1842115636">
    <w:abstractNumId w:val="1"/>
  </w:num>
  <w:num w:numId="6" w16cid:durableId="2092072165">
    <w:abstractNumId w:val="3"/>
  </w:num>
  <w:num w:numId="7" w16cid:durableId="1843205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8C"/>
    <w:rsid w:val="00006146"/>
    <w:rsid w:val="0001324B"/>
    <w:rsid w:val="000238C4"/>
    <w:rsid w:val="000442F2"/>
    <w:rsid w:val="000556AF"/>
    <w:rsid w:val="00055DB9"/>
    <w:rsid w:val="000677C2"/>
    <w:rsid w:val="00067E2B"/>
    <w:rsid w:val="000735D1"/>
    <w:rsid w:val="00085A3B"/>
    <w:rsid w:val="000942B3"/>
    <w:rsid w:val="000A4E17"/>
    <w:rsid w:val="000B4565"/>
    <w:rsid w:val="000D1EE4"/>
    <w:rsid w:val="000D5D29"/>
    <w:rsid w:val="000E1EF3"/>
    <w:rsid w:val="0011346D"/>
    <w:rsid w:val="00122A62"/>
    <w:rsid w:val="00150243"/>
    <w:rsid w:val="001554BE"/>
    <w:rsid w:val="00163F80"/>
    <w:rsid w:val="00175071"/>
    <w:rsid w:val="00185F16"/>
    <w:rsid w:val="001B0DCE"/>
    <w:rsid w:val="001C413C"/>
    <w:rsid w:val="001C6700"/>
    <w:rsid w:val="001E4371"/>
    <w:rsid w:val="001E6DF9"/>
    <w:rsid w:val="001E7C7F"/>
    <w:rsid w:val="001E7E4E"/>
    <w:rsid w:val="00211A23"/>
    <w:rsid w:val="00214A28"/>
    <w:rsid w:val="00216E2A"/>
    <w:rsid w:val="002177E7"/>
    <w:rsid w:val="00221EDA"/>
    <w:rsid w:val="002428FE"/>
    <w:rsid w:val="00245A69"/>
    <w:rsid w:val="00257377"/>
    <w:rsid w:val="00267E71"/>
    <w:rsid w:val="00290E9F"/>
    <w:rsid w:val="002A6567"/>
    <w:rsid w:val="002B0C9F"/>
    <w:rsid w:val="002B56DD"/>
    <w:rsid w:val="002C03F5"/>
    <w:rsid w:val="002D42EF"/>
    <w:rsid w:val="002E0328"/>
    <w:rsid w:val="002E5A7A"/>
    <w:rsid w:val="00303E0E"/>
    <w:rsid w:val="003215A7"/>
    <w:rsid w:val="00324D56"/>
    <w:rsid w:val="0034111D"/>
    <w:rsid w:val="00350CFF"/>
    <w:rsid w:val="00365048"/>
    <w:rsid w:val="00382FCA"/>
    <w:rsid w:val="003A7591"/>
    <w:rsid w:val="003B53E0"/>
    <w:rsid w:val="003C123D"/>
    <w:rsid w:val="003D5EE3"/>
    <w:rsid w:val="003D7BF7"/>
    <w:rsid w:val="003E2E20"/>
    <w:rsid w:val="003F0D44"/>
    <w:rsid w:val="003F60CB"/>
    <w:rsid w:val="00400DC7"/>
    <w:rsid w:val="00404563"/>
    <w:rsid w:val="00406EFE"/>
    <w:rsid w:val="00412E10"/>
    <w:rsid w:val="00424DF0"/>
    <w:rsid w:val="00440D9B"/>
    <w:rsid w:val="00481043"/>
    <w:rsid w:val="0049084D"/>
    <w:rsid w:val="004A43FC"/>
    <w:rsid w:val="004A668B"/>
    <w:rsid w:val="004A7162"/>
    <w:rsid w:val="004C43F5"/>
    <w:rsid w:val="004C60D1"/>
    <w:rsid w:val="004F1D35"/>
    <w:rsid w:val="004F2BBD"/>
    <w:rsid w:val="005239C0"/>
    <w:rsid w:val="0054772E"/>
    <w:rsid w:val="00576454"/>
    <w:rsid w:val="00592F8A"/>
    <w:rsid w:val="005A04E4"/>
    <w:rsid w:val="005A74F5"/>
    <w:rsid w:val="005C6524"/>
    <w:rsid w:val="005E3735"/>
    <w:rsid w:val="005E534B"/>
    <w:rsid w:val="005F1CCA"/>
    <w:rsid w:val="005F2A2F"/>
    <w:rsid w:val="005F4061"/>
    <w:rsid w:val="005F4843"/>
    <w:rsid w:val="005F4BC3"/>
    <w:rsid w:val="005F5300"/>
    <w:rsid w:val="005F711E"/>
    <w:rsid w:val="00600275"/>
    <w:rsid w:val="00605CB8"/>
    <w:rsid w:val="006265D5"/>
    <w:rsid w:val="00636DC5"/>
    <w:rsid w:val="00641921"/>
    <w:rsid w:val="00644674"/>
    <w:rsid w:val="00646A38"/>
    <w:rsid w:val="00647F5A"/>
    <w:rsid w:val="006519DE"/>
    <w:rsid w:val="00651B85"/>
    <w:rsid w:val="0068307C"/>
    <w:rsid w:val="0068310C"/>
    <w:rsid w:val="006840EB"/>
    <w:rsid w:val="00690E9D"/>
    <w:rsid w:val="0069332C"/>
    <w:rsid w:val="006B1F1C"/>
    <w:rsid w:val="006B5E2C"/>
    <w:rsid w:val="006B7CAD"/>
    <w:rsid w:val="006E12AB"/>
    <w:rsid w:val="006E55D3"/>
    <w:rsid w:val="006F217F"/>
    <w:rsid w:val="006F2FD9"/>
    <w:rsid w:val="00701C87"/>
    <w:rsid w:val="00710E7D"/>
    <w:rsid w:val="00732065"/>
    <w:rsid w:val="00736C97"/>
    <w:rsid w:val="00740FA6"/>
    <w:rsid w:val="00743CB3"/>
    <w:rsid w:val="00747039"/>
    <w:rsid w:val="00755554"/>
    <w:rsid w:val="00755A18"/>
    <w:rsid w:val="00770E90"/>
    <w:rsid w:val="007C112E"/>
    <w:rsid w:val="007C6A99"/>
    <w:rsid w:val="007D24CA"/>
    <w:rsid w:val="007E23A5"/>
    <w:rsid w:val="007E7DAC"/>
    <w:rsid w:val="0080596D"/>
    <w:rsid w:val="00813D8E"/>
    <w:rsid w:val="00832EB1"/>
    <w:rsid w:val="0083713A"/>
    <w:rsid w:val="008707AD"/>
    <w:rsid w:val="00884F26"/>
    <w:rsid w:val="008A2B6B"/>
    <w:rsid w:val="008A2CC8"/>
    <w:rsid w:val="008B046C"/>
    <w:rsid w:val="008B21CA"/>
    <w:rsid w:val="008C2A3E"/>
    <w:rsid w:val="008E08F2"/>
    <w:rsid w:val="00904C96"/>
    <w:rsid w:val="00907A8D"/>
    <w:rsid w:val="00933181"/>
    <w:rsid w:val="0096000B"/>
    <w:rsid w:val="00960122"/>
    <w:rsid w:val="00982B5C"/>
    <w:rsid w:val="0099794A"/>
    <w:rsid w:val="009A2445"/>
    <w:rsid w:val="009C5AAE"/>
    <w:rsid w:val="009C686B"/>
    <w:rsid w:val="009C7CE5"/>
    <w:rsid w:val="009D4D26"/>
    <w:rsid w:val="009D6CAD"/>
    <w:rsid w:val="009E507C"/>
    <w:rsid w:val="009F3C43"/>
    <w:rsid w:val="00A036FF"/>
    <w:rsid w:val="00A055E1"/>
    <w:rsid w:val="00A13537"/>
    <w:rsid w:val="00A21A1F"/>
    <w:rsid w:val="00A248C8"/>
    <w:rsid w:val="00A30D01"/>
    <w:rsid w:val="00A33DB2"/>
    <w:rsid w:val="00A35481"/>
    <w:rsid w:val="00A42250"/>
    <w:rsid w:val="00A42C51"/>
    <w:rsid w:val="00A54D78"/>
    <w:rsid w:val="00A83E89"/>
    <w:rsid w:val="00A843B2"/>
    <w:rsid w:val="00AB3590"/>
    <w:rsid w:val="00AD0B7F"/>
    <w:rsid w:val="00AD132A"/>
    <w:rsid w:val="00AD1E31"/>
    <w:rsid w:val="00AE68E2"/>
    <w:rsid w:val="00AF53A8"/>
    <w:rsid w:val="00B03083"/>
    <w:rsid w:val="00B051DC"/>
    <w:rsid w:val="00B14873"/>
    <w:rsid w:val="00B24EB4"/>
    <w:rsid w:val="00B30F12"/>
    <w:rsid w:val="00B34B2E"/>
    <w:rsid w:val="00B377EB"/>
    <w:rsid w:val="00B41430"/>
    <w:rsid w:val="00B759B4"/>
    <w:rsid w:val="00B77D1C"/>
    <w:rsid w:val="00BC03FE"/>
    <w:rsid w:val="00BC2F55"/>
    <w:rsid w:val="00BD5CDA"/>
    <w:rsid w:val="00BE209B"/>
    <w:rsid w:val="00BE637C"/>
    <w:rsid w:val="00BF2370"/>
    <w:rsid w:val="00C25853"/>
    <w:rsid w:val="00C33305"/>
    <w:rsid w:val="00C34867"/>
    <w:rsid w:val="00C445CA"/>
    <w:rsid w:val="00C516A9"/>
    <w:rsid w:val="00C5493C"/>
    <w:rsid w:val="00C9325C"/>
    <w:rsid w:val="00CA7349"/>
    <w:rsid w:val="00CD0D44"/>
    <w:rsid w:val="00CE51BA"/>
    <w:rsid w:val="00CE6145"/>
    <w:rsid w:val="00CF0D90"/>
    <w:rsid w:val="00CF1E6A"/>
    <w:rsid w:val="00CF3BB3"/>
    <w:rsid w:val="00CF624D"/>
    <w:rsid w:val="00D01833"/>
    <w:rsid w:val="00D127EA"/>
    <w:rsid w:val="00D12C3F"/>
    <w:rsid w:val="00D2171B"/>
    <w:rsid w:val="00D36D17"/>
    <w:rsid w:val="00D40371"/>
    <w:rsid w:val="00D559D0"/>
    <w:rsid w:val="00D57DDC"/>
    <w:rsid w:val="00D63930"/>
    <w:rsid w:val="00D7218C"/>
    <w:rsid w:val="00DB2D6C"/>
    <w:rsid w:val="00DD6083"/>
    <w:rsid w:val="00DD6C20"/>
    <w:rsid w:val="00E008B1"/>
    <w:rsid w:val="00E01848"/>
    <w:rsid w:val="00E26902"/>
    <w:rsid w:val="00E324FC"/>
    <w:rsid w:val="00E53C52"/>
    <w:rsid w:val="00E60E08"/>
    <w:rsid w:val="00E64DC6"/>
    <w:rsid w:val="00E664DB"/>
    <w:rsid w:val="00E711EF"/>
    <w:rsid w:val="00E7285F"/>
    <w:rsid w:val="00E7550F"/>
    <w:rsid w:val="00E82495"/>
    <w:rsid w:val="00E851CF"/>
    <w:rsid w:val="00E85F03"/>
    <w:rsid w:val="00EA2D36"/>
    <w:rsid w:val="00EA6C9B"/>
    <w:rsid w:val="00EC37D6"/>
    <w:rsid w:val="00EC4618"/>
    <w:rsid w:val="00EC46A8"/>
    <w:rsid w:val="00EC5241"/>
    <w:rsid w:val="00ED6AE0"/>
    <w:rsid w:val="00EE2352"/>
    <w:rsid w:val="00EF047B"/>
    <w:rsid w:val="00F075B9"/>
    <w:rsid w:val="00F26D32"/>
    <w:rsid w:val="00F35221"/>
    <w:rsid w:val="00F457C4"/>
    <w:rsid w:val="00F556D1"/>
    <w:rsid w:val="00F55A27"/>
    <w:rsid w:val="00F5714E"/>
    <w:rsid w:val="00F6072F"/>
    <w:rsid w:val="00F83A78"/>
    <w:rsid w:val="00F866B8"/>
    <w:rsid w:val="00F877E4"/>
    <w:rsid w:val="00F93D68"/>
    <w:rsid w:val="00FB0758"/>
    <w:rsid w:val="00FB0889"/>
    <w:rsid w:val="00FC1787"/>
    <w:rsid w:val="00FC70FF"/>
    <w:rsid w:val="00FD0F73"/>
    <w:rsid w:val="00FD1499"/>
    <w:rsid w:val="00FD31AA"/>
    <w:rsid w:val="00FE23F3"/>
    <w:rsid w:val="00FE33E0"/>
    <w:rsid w:val="00FE5C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96EE"/>
  <w15:docId w15:val="{AE592378-8739-412F-B1BE-AC500C3F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C3F"/>
  </w:style>
  <w:style w:type="paragraph" w:styleId="Heading2">
    <w:name w:val="heading 2"/>
    <w:basedOn w:val="Normal"/>
    <w:link w:val="Heading2Char"/>
    <w:uiPriority w:val="9"/>
    <w:qFormat/>
    <w:rsid w:val="00E324FC"/>
    <w:pPr>
      <w:spacing w:before="100" w:beforeAutospacing="1" w:after="100" w:afterAutospacing="1"/>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349"/>
    <w:pPr>
      <w:ind w:left="720"/>
      <w:contextualSpacing/>
    </w:pPr>
  </w:style>
  <w:style w:type="paragraph" w:styleId="BalloonText">
    <w:name w:val="Balloon Text"/>
    <w:basedOn w:val="Normal"/>
    <w:link w:val="BalloonTextChar"/>
    <w:uiPriority w:val="99"/>
    <w:semiHidden/>
    <w:unhideWhenUsed/>
    <w:rsid w:val="00747039"/>
    <w:rPr>
      <w:rFonts w:ascii="Tahoma" w:hAnsi="Tahoma" w:cs="Tahoma"/>
      <w:sz w:val="16"/>
      <w:szCs w:val="16"/>
    </w:rPr>
  </w:style>
  <w:style w:type="character" w:customStyle="1" w:styleId="BalloonTextChar">
    <w:name w:val="Balloon Text Char"/>
    <w:basedOn w:val="DefaultParagraphFont"/>
    <w:link w:val="BalloonText"/>
    <w:uiPriority w:val="99"/>
    <w:semiHidden/>
    <w:rsid w:val="00747039"/>
    <w:rPr>
      <w:rFonts w:ascii="Tahoma" w:hAnsi="Tahoma" w:cs="Tahoma"/>
      <w:sz w:val="16"/>
      <w:szCs w:val="16"/>
    </w:rPr>
  </w:style>
  <w:style w:type="character" w:customStyle="1" w:styleId="Heading2Char">
    <w:name w:val="Heading 2 Char"/>
    <w:basedOn w:val="DefaultParagraphFont"/>
    <w:link w:val="Heading2"/>
    <w:uiPriority w:val="9"/>
    <w:rsid w:val="00E324FC"/>
    <w:rPr>
      <w:rFonts w:eastAsia="Times New Roman" w:cs="Times New Roman"/>
      <w:b/>
      <w:bCs/>
      <w:sz w:val="36"/>
      <w:szCs w:val="36"/>
      <w:lang w:val="en-US"/>
    </w:rPr>
  </w:style>
  <w:style w:type="character" w:styleId="Hyperlink">
    <w:name w:val="Hyperlink"/>
    <w:basedOn w:val="DefaultParagraphFont"/>
    <w:uiPriority w:val="99"/>
    <w:semiHidden/>
    <w:unhideWhenUsed/>
    <w:rsid w:val="00600275"/>
    <w:rPr>
      <w:color w:val="0000FF"/>
      <w:u w:val="single"/>
    </w:rPr>
  </w:style>
  <w:style w:type="paragraph" w:styleId="NormalWeb">
    <w:name w:val="Normal (Web)"/>
    <w:basedOn w:val="Normal"/>
    <w:uiPriority w:val="99"/>
    <w:unhideWhenUsed/>
    <w:rsid w:val="00185F16"/>
    <w:pPr>
      <w:spacing w:before="100" w:beforeAutospacing="1" w:after="100" w:afterAutospacing="1"/>
    </w:pPr>
    <w:rPr>
      <w:rFonts w:eastAsia="Times New Roman" w:cs="Times New Roman"/>
      <w:sz w:val="24"/>
      <w:szCs w:val="24"/>
      <w:lang w:eastAsia="vi-VN"/>
    </w:rPr>
  </w:style>
  <w:style w:type="character" w:styleId="Emphasis">
    <w:name w:val="Emphasis"/>
    <w:basedOn w:val="DefaultParagraphFont"/>
    <w:uiPriority w:val="20"/>
    <w:qFormat/>
    <w:rsid w:val="00185F16"/>
    <w:rPr>
      <w:i/>
      <w:iCs/>
    </w:rPr>
  </w:style>
  <w:style w:type="character" w:styleId="Strong">
    <w:name w:val="Strong"/>
    <w:basedOn w:val="DefaultParagraphFont"/>
    <w:uiPriority w:val="22"/>
    <w:qFormat/>
    <w:rsid w:val="00185F16"/>
    <w:rPr>
      <w:b/>
      <w:bCs/>
    </w:rPr>
  </w:style>
  <w:style w:type="table" w:styleId="TableGrid">
    <w:name w:val="Table Grid"/>
    <w:basedOn w:val="TableNormal"/>
    <w:uiPriority w:val="59"/>
    <w:rsid w:val="00D57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05512">
      <w:bodyDiv w:val="1"/>
      <w:marLeft w:val="0"/>
      <w:marRight w:val="0"/>
      <w:marTop w:val="0"/>
      <w:marBottom w:val="0"/>
      <w:divBdr>
        <w:top w:val="none" w:sz="0" w:space="0" w:color="auto"/>
        <w:left w:val="none" w:sz="0" w:space="0" w:color="auto"/>
        <w:bottom w:val="none" w:sz="0" w:space="0" w:color="auto"/>
        <w:right w:val="none" w:sz="0" w:space="0" w:color="auto"/>
      </w:divBdr>
      <w:divsChild>
        <w:div w:id="696927924">
          <w:marLeft w:val="75"/>
          <w:marRight w:val="75"/>
          <w:marTop w:val="75"/>
          <w:marBottom w:val="75"/>
          <w:divBdr>
            <w:top w:val="none" w:sz="0" w:space="0" w:color="auto"/>
            <w:left w:val="none" w:sz="0" w:space="0" w:color="auto"/>
            <w:bottom w:val="none" w:sz="0" w:space="0" w:color="auto"/>
            <w:right w:val="none" w:sz="0" w:space="0" w:color="auto"/>
          </w:divBdr>
        </w:div>
        <w:div w:id="1975333204">
          <w:marLeft w:val="75"/>
          <w:marRight w:val="75"/>
          <w:marTop w:val="75"/>
          <w:marBottom w:val="75"/>
          <w:divBdr>
            <w:top w:val="none" w:sz="0" w:space="0" w:color="auto"/>
            <w:left w:val="none" w:sz="0" w:space="0" w:color="auto"/>
            <w:bottom w:val="none" w:sz="0" w:space="0" w:color="auto"/>
            <w:right w:val="none" w:sz="0" w:space="0" w:color="auto"/>
          </w:divBdr>
        </w:div>
      </w:divsChild>
    </w:div>
    <w:div w:id="209538084">
      <w:bodyDiv w:val="1"/>
      <w:marLeft w:val="0"/>
      <w:marRight w:val="0"/>
      <w:marTop w:val="0"/>
      <w:marBottom w:val="0"/>
      <w:divBdr>
        <w:top w:val="none" w:sz="0" w:space="0" w:color="auto"/>
        <w:left w:val="none" w:sz="0" w:space="0" w:color="auto"/>
        <w:bottom w:val="none" w:sz="0" w:space="0" w:color="auto"/>
        <w:right w:val="none" w:sz="0" w:space="0" w:color="auto"/>
      </w:divBdr>
    </w:div>
    <w:div w:id="439376374">
      <w:bodyDiv w:val="1"/>
      <w:marLeft w:val="0"/>
      <w:marRight w:val="0"/>
      <w:marTop w:val="0"/>
      <w:marBottom w:val="0"/>
      <w:divBdr>
        <w:top w:val="none" w:sz="0" w:space="0" w:color="auto"/>
        <w:left w:val="none" w:sz="0" w:space="0" w:color="auto"/>
        <w:bottom w:val="none" w:sz="0" w:space="0" w:color="auto"/>
        <w:right w:val="none" w:sz="0" w:space="0" w:color="auto"/>
      </w:divBdr>
    </w:div>
    <w:div w:id="679159692">
      <w:bodyDiv w:val="1"/>
      <w:marLeft w:val="0"/>
      <w:marRight w:val="0"/>
      <w:marTop w:val="0"/>
      <w:marBottom w:val="0"/>
      <w:divBdr>
        <w:top w:val="none" w:sz="0" w:space="0" w:color="auto"/>
        <w:left w:val="none" w:sz="0" w:space="0" w:color="auto"/>
        <w:bottom w:val="none" w:sz="0" w:space="0" w:color="auto"/>
        <w:right w:val="none" w:sz="0" w:space="0" w:color="auto"/>
      </w:divBdr>
    </w:div>
    <w:div w:id="977959397">
      <w:bodyDiv w:val="1"/>
      <w:marLeft w:val="0"/>
      <w:marRight w:val="0"/>
      <w:marTop w:val="0"/>
      <w:marBottom w:val="0"/>
      <w:divBdr>
        <w:top w:val="none" w:sz="0" w:space="0" w:color="auto"/>
        <w:left w:val="none" w:sz="0" w:space="0" w:color="auto"/>
        <w:bottom w:val="none" w:sz="0" w:space="0" w:color="auto"/>
        <w:right w:val="none" w:sz="0" w:space="0" w:color="auto"/>
      </w:divBdr>
    </w:div>
    <w:div w:id="1186362293">
      <w:bodyDiv w:val="1"/>
      <w:marLeft w:val="0"/>
      <w:marRight w:val="0"/>
      <w:marTop w:val="0"/>
      <w:marBottom w:val="0"/>
      <w:divBdr>
        <w:top w:val="none" w:sz="0" w:space="0" w:color="auto"/>
        <w:left w:val="none" w:sz="0" w:space="0" w:color="auto"/>
        <w:bottom w:val="none" w:sz="0" w:space="0" w:color="auto"/>
        <w:right w:val="none" w:sz="0" w:space="0" w:color="auto"/>
      </w:divBdr>
    </w:div>
    <w:div w:id="1306860385">
      <w:bodyDiv w:val="1"/>
      <w:marLeft w:val="0"/>
      <w:marRight w:val="0"/>
      <w:marTop w:val="0"/>
      <w:marBottom w:val="0"/>
      <w:divBdr>
        <w:top w:val="none" w:sz="0" w:space="0" w:color="auto"/>
        <w:left w:val="none" w:sz="0" w:space="0" w:color="auto"/>
        <w:bottom w:val="none" w:sz="0" w:space="0" w:color="auto"/>
        <w:right w:val="none" w:sz="0" w:space="0" w:color="auto"/>
      </w:divBdr>
    </w:div>
    <w:div w:id="1328679128">
      <w:bodyDiv w:val="1"/>
      <w:marLeft w:val="0"/>
      <w:marRight w:val="0"/>
      <w:marTop w:val="0"/>
      <w:marBottom w:val="0"/>
      <w:divBdr>
        <w:top w:val="none" w:sz="0" w:space="0" w:color="auto"/>
        <w:left w:val="none" w:sz="0" w:space="0" w:color="auto"/>
        <w:bottom w:val="none" w:sz="0" w:space="0" w:color="auto"/>
        <w:right w:val="none" w:sz="0" w:space="0" w:color="auto"/>
      </w:divBdr>
    </w:div>
    <w:div w:id="1607733993">
      <w:bodyDiv w:val="1"/>
      <w:marLeft w:val="0"/>
      <w:marRight w:val="0"/>
      <w:marTop w:val="0"/>
      <w:marBottom w:val="0"/>
      <w:divBdr>
        <w:top w:val="none" w:sz="0" w:space="0" w:color="auto"/>
        <w:left w:val="none" w:sz="0" w:space="0" w:color="auto"/>
        <w:bottom w:val="none" w:sz="0" w:space="0" w:color="auto"/>
        <w:right w:val="none" w:sz="0" w:space="0" w:color="auto"/>
      </w:divBdr>
    </w:div>
    <w:div w:id="202732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ungtamthuoc.com/hoat-chat/aspirin" TargetMode="External"/><Relationship Id="rId3" Type="http://schemas.openxmlformats.org/officeDocument/2006/relationships/styles" Target="styles.xml"/><Relationship Id="rId7" Type="http://schemas.openxmlformats.org/officeDocument/2006/relationships/hyperlink" Target="https://www.thuocbietduoc.com.vn/thuoc-goc-488/lisinopril.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ungtamthuoc.com/bai-viet/chong-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8A6AC-D4DC-4270-86EF-3A47F8FC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Nguyễn Thị Hường</cp:lastModifiedBy>
  <cp:revision>20</cp:revision>
  <cp:lastPrinted>2019-03-28T08:48:00Z</cp:lastPrinted>
  <dcterms:created xsi:type="dcterms:W3CDTF">2024-05-28T03:05:00Z</dcterms:created>
  <dcterms:modified xsi:type="dcterms:W3CDTF">2024-05-29T01:36:00Z</dcterms:modified>
</cp:coreProperties>
</file>