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ED26" w14:textId="5E7456BC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5450B8">
        <w:rPr>
          <w:b/>
          <w:sz w:val="22"/>
          <w:u w:val="single"/>
        </w:rPr>
        <w:t>-</w:t>
      </w:r>
      <w:r w:rsidRPr="002E2864">
        <w:rPr>
          <w:b/>
          <w:sz w:val="22"/>
          <w:u w:val="single"/>
        </w:rPr>
        <w:t xml:space="preserve"> THÁNG </w:t>
      </w:r>
      <w:r w:rsidR="00D11A67">
        <w:rPr>
          <w:b/>
          <w:sz w:val="22"/>
          <w:u w:val="single"/>
        </w:rPr>
        <w:t>2/2024</w:t>
      </w:r>
    </w:p>
    <w:p w14:paraId="4581874E" w14:textId="77777777" w:rsidR="00EB6BF5" w:rsidRDefault="00EB6BF5" w:rsidP="00F1214C">
      <w:pPr>
        <w:spacing w:after="0"/>
        <w:rPr>
          <w:b/>
          <w:sz w:val="22"/>
          <w:u w:val="single"/>
        </w:rPr>
      </w:pPr>
    </w:p>
    <w:p w14:paraId="66CAC418" w14:textId="77777777" w:rsidR="00165983" w:rsidRDefault="00165983" w:rsidP="00F1214C">
      <w:pPr>
        <w:spacing w:after="0"/>
        <w:rPr>
          <w:sz w:val="22"/>
        </w:rPr>
      </w:pPr>
    </w:p>
    <w:p w14:paraId="52168686" w14:textId="5BE56F74" w:rsidR="00B80104" w:rsidRPr="00F1214C" w:rsidRDefault="00D11A67" w:rsidP="00F1214C">
      <w:pPr>
        <w:spacing w:after="0"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AMBR</w:t>
      </w:r>
      <w:r w:rsidR="00CD74F1">
        <w:rPr>
          <w:b/>
          <w:sz w:val="40"/>
          <w:szCs w:val="48"/>
        </w:rPr>
        <w:t>OXOL</w:t>
      </w:r>
    </w:p>
    <w:p w14:paraId="4533939A" w14:textId="44B6130A" w:rsidR="002E2864" w:rsidRPr="00E1395F" w:rsidRDefault="00997068" w:rsidP="00E1395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1805334A" wp14:editId="5433F566">
            <wp:extent cx="1533525" cy="1533525"/>
            <wp:effectExtent l="0" t="0" r="9525" b="9525"/>
            <wp:docPr id="1" name="Picture 1" descr="Siro trị viêm phế quản Ambroxol 15mg/5ml Chai 60ml - Nhà Thuốc VI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o trị viêm phế quản Ambroxol 15mg/5ml Chai 60ml - Nhà Thuốc VIVI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8D4" w14:textId="673179F7" w:rsidR="00AB4A63" w:rsidRPr="00726A0D" w:rsidRDefault="00461589" w:rsidP="002E2864">
      <w:pPr>
        <w:jc w:val="both"/>
        <w:rPr>
          <w:bCs/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THÀNH PHẦN:</w:t>
      </w:r>
      <w:r w:rsidR="007B1197" w:rsidRPr="004A7B4D">
        <w:rPr>
          <w:b/>
          <w:color w:val="000000" w:themeColor="text1"/>
          <w:szCs w:val="28"/>
        </w:rPr>
        <w:t xml:space="preserve"> </w:t>
      </w:r>
      <w:r w:rsidR="00726A0D">
        <w:rPr>
          <w:bCs/>
          <w:color w:val="000000" w:themeColor="text1"/>
          <w:szCs w:val="28"/>
        </w:rPr>
        <w:t>Cho mỗi 5 ml siro</w:t>
      </w:r>
    </w:p>
    <w:p w14:paraId="66B25B60" w14:textId="28370EDE" w:rsidR="00461589" w:rsidRDefault="00CD74F1" w:rsidP="00CD74F1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>- Ambroxol HCL……………………………………15 mg.</w:t>
      </w:r>
    </w:p>
    <w:p w14:paraId="4C003830" w14:textId="3C5E9726" w:rsidR="003A0F5B" w:rsidRPr="00726A0D" w:rsidRDefault="00E14C1B" w:rsidP="00726A0D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 xml:space="preserve">- </w:t>
      </w:r>
      <w:r w:rsidR="00EF560C">
        <w:rPr>
          <w:rFonts w:cs="Times New Roman"/>
          <w:color w:val="000000" w:themeColor="text1"/>
          <w:szCs w:val="28"/>
          <w:shd w:val="clear" w:color="auto" w:fill="FFFFFF"/>
        </w:rPr>
        <w:t>Tá dược (Na CMC, acid citric, natri metabisulfit, sucralose, natri</w:t>
      </w:r>
      <w:r w:rsidR="00E358D5">
        <w:rPr>
          <w:rFonts w:cs="Times New Roman"/>
          <w:color w:val="000000" w:themeColor="text1"/>
          <w:szCs w:val="28"/>
          <w:shd w:val="clear" w:color="auto" w:fill="FFFFFF"/>
        </w:rPr>
        <w:t xml:space="preserve"> benzoat, EDTA, dung dịch sorbitol 70%, hương Tutti, propylen glycol</w:t>
      </w:r>
      <w:r w:rsidR="00B34B7B">
        <w:rPr>
          <w:rFonts w:cs="Times New Roman"/>
          <w:color w:val="000000" w:themeColor="text1"/>
          <w:szCs w:val="28"/>
          <w:shd w:val="clear" w:color="auto" w:fill="FFFFFF"/>
        </w:rPr>
        <w:t xml:space="preserve">, glycerin, NaOH, tinh dầu eucalyptol, nước tinh khiết) vừa đủ </w:t>
      </w:r>
      <w:r w:rsidR="002E7EAE">
        <w:rPr>
          <w:rFonts w:cs="Times New Roman"/>
          <w:color w:val="000000" w:themeColor="text1"/>
          <w:szCs w:val="28"/>
          <w:shd w:val="clear" w:color="auto" w:fill="FFFFFF"/>
        </w:rPr>
        <w:t>………………….5ml)</w:t>
      </w:r>
    </w:p>
    <w:p w14:paraId="6ACC3AD6" w14:textId="519E6F5A" w:rsidR="00960F6E" w:rsidRDefault="00960F6E" w:rsidP="00F1214C">
      <w:pPr>
        <w:spacing w:after="0"/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CHỈ ĐỊNH:</w:t>
      </w:r>
    </w:p>
    <w:p w14:paraId="13B5E11E" w14:textId="460B8B93" w:rsidR="00B1072F" w:rsidRPr="00726A0D" w:rsidRDefault="00726A0D" w:rsidP="00726A0D"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</w:t>
      </w:r>
      <w:r w:rsidR="00456EA6">
        <w:rPr>
          <w:bCs/>
          <w:color w:val="000000" w:themeColor="text1"/>
          <w:szCs w:val="28"/>
        </w:rPr>
        <w:t xml:space="preserve">Điều trị các rối loạn về sự bài tiết ở phế quản, chủ yếu trong các bệnh phế quản cấp tính: </w:t>
      </w:r>
      <w:r w:rsidR="00DE2474">
        <w:rPr>
          <w:bCs/>
          <w:color w:val="000000" w:themeColor="text1"/>
          <w:szCs w:val="28"/>
        </w:rPr>
        <w:t>Viêm phế quản cấp tính, giai đoạn cấp tính của các bệnh phế quản- phổi mãn tính.</w:t>
      </w:r>
    </w:p>
    <w:p w14:paraId="536F4556" w14:textId="21933196" w:rsidR="00960F6E" w:rsidRDefault="00795966" w:rsidP="00F1214C">
      <w:pPr>
        <w:spacing w:after="0"/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LIỀU LƯỢNG VÀ CÁCH DÙNG</w:t>
      </w:r>
      <w:r w:rsidRPr="004A7B4D">
        <w:rPr>
          <w:color w:val="000000" w:themeColor="text1"/>
          <w:szCs w:val="28"/>
        </w:rPr>
        <w:t>:</w:t>
      </w:r>
    </w:p>
    <w:p w14:paraId="5E2498B4" w14:textId="408435D0" w:rsidR="00DE2474" w:rsidRDefault="00DE2474" w:rsidP="00F1214C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- Dùng theo chỉ định của bác sĩ</w:t>
      </w:r>
      <w:r w:rsidR="003C4A1D">
        <w:rPr>
          <w:color w:val="000000" w:themeColor="text1"/>
          <w:szCs w:val="28"/>
        </w:rPr>
        <w:t xml:space="preserve"> hoặc theo liều trung bình.</w:t>
      </w:r>
    </w:p>
    <w:p w14:paraId="4FE3994E" w14:textId="6B391951" w:rsidR="003C4A1D" w:rsidRDefault="003C4A1D" w:rsidP="00F1214C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+ Trẻ em 2-5 tuổi: 2.5 ml (1/2 muỗng canh), 2-3 lần/ngày.</w:t>
      </w:r>
    </w:p>
    <w:p w14:paraId="2980AFBE" w14:textId="60E620A6" w:rsidR="003C4A1D" w:rsidRDefault="003C4A1D" w:rsidP="00F1214C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+ Trẻ em </w:t>
      </w:r>
      <w:r w:rsidR="001A46B9">
        <w:rPr>
          <w:color w:val="000000" w:themeColor="text1"/>
          <w:szCs w:val="28"/>
        </w:rPr>
        <w:t>5-10 tuổi: 5ml (1 muỗng canh), 2-3 lần/ngày.</w:t>
      </w:r>
    </w:p>
    <w:p w14:paraId="6C1C6A53" w14:textId="637FA0ED" w:rsidR="001A46B9" w:rsidRDefault="001A46B9" w:rsidP="00F1214C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+ Trẻ em trên 10 tuổi và người lớn: 10 ml (2 muỗng canh</w:t>
      </w:r>
      <w:r w:rsidR="00142F42">
        <w:rPr>
          <w:color w:val="000000" w:themeColor="text1"/>
          <w:szCs w:val="28"/>
        </w:rPr>
        <w:t>), 3 lần/ngày.</w:t>
      </w:r>
    </w:p>
    <w:p w14:paraId="431A587A" w14:textId="795A60B7" w:rsidR="008F16E3" w:rsidRDefault="001D2281" w:rsidP="008F16E3">
      <w:pPr>
        <w:jc w:val="both"/>
        <w:rPr>
          <w:rFonts w:eastAsiaTheme="minorEastAsia"/>
          <w:b/>
          <w:color w:val="000000" w:themeColor="text1"/>
          <w:szCs w:val="28"/>
          <w:u w:val="single"/>
        </w:rPr>
      </w:pPr>
      <w:r w:rsidRPr="004A7B4D">
        <w:rPr>
          <w:rFonts w:eastAsiaTheme="minorEastAsia"/>
          <w:b/>
          <w:color w:val="000000" w:themeColor="text1"/>
          <w:szCs w:val="28"/>
          <w:u w:val="single"/>
        </w:rPr>
        <w:t>CHỐNG CHỈ ĐỊNH:</w:t>
      </w:r>
    </w:p>
    <w:p w14:paraId="1B3D3BFA" w14:textId="3427FB11" w:rsidR="001336CC" w:rsidRDefault="00290207" w:rsidP="00290207">
      <w:pPr>
        <w:ind w:firstLine="720"/>
        <w:jc w:val="both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>-</w:t>
      </w:r>
      <w:r w:rsidR="000A167E">
        <w:rPr>
          <w:rFonts w:eastAsiaTheme="minorEastAsia"/>
          <w:bCs/>
          <w:color w:val="000000" w:themeColor="text1"/>
          <w:szCs w:val="28"/>
        </w:rPr>
        <w:t xml:space="preserve">Mẫn cảm </w:t>
      </w:r>
      <w:r w:rsidR="004E668D">
        <w:rPr>
          <w:rFonts w:eastAsiaTheme="minorEastAsia"/>
          <w:bCs/>
          <w:color w:val="000000" w:themeColor="text1"/>
          <w:szCs w:val="28"/>
        </w:rPr>
        <w:t>với một trong các thành phần của thuốc.</w:t>
      </w:r>
    </w:p>
    <w:p w14:paraId="720733F4" w14:textId="22876ADC" w:rsidR="004E668D" w:rsidRPr="000A167E" w:rsidRDefault="004E668D" w:rsidP="00290207">
      <w:pPr>
        <w:ind w:firstLine="720"/>
        <w:jc w:val="both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 xml:space="preserve">- Loét dạ dày, tá tràng </w:t>
      </w:r>
      <w:r w:rsidR="008E18D6">
        <w:rPr>
          <w:rFonts w:eastAsiaTheme="minorEastAsia"/>
          <w:bCs/>
          <w:color w:val="000000" w:themeColor="text1"/>
          <w:szCs w:val="28"/>
        </w:rPr>
        <w:t>tiến triển.</w:t>
      </w:r>
    </w:p>
    <w:p w14:paraId="72065F65" w14:textId="3571B680" w:rsidR="00430B0E" w:rsidRDefault="00430B0E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THẬN TRỌNG:</w:t>
      </w:r>
    </w:p>
    <w:p w14:paraId="6EAF07F5" w14:textId="510DB5D6" w:rsidR="008E18D6" w:rsidRPr="008E18D6" w:rsidRDefault="008E18D6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</w:t>
      </w:r>
      <w:r w:rsidR="000967D2">
        <w:rPr>
          <w:bCs/>
          <w:color w:val="000000" w:themeColor="text1"/>
          <w:szCs w:val="28"/>
        </w:rPr>
        <w:t>Dùng thận trọng với người bị loét đường tiêu hoá và các trường hợp ho ra máu, vì ambroxol có thể làm tan các cục máu đông fibrin</w:t>
      </w:r>
      <w:r w:rsidR="00EE6824">
        <w:rPr>
          <w:bCs/>
          <w:color w:val="000000" w:themeColor="text1"/>
          <w:szCs w:val="28"/>
        </w:rPr>
        <w:t xml:space="preserve"> và làm xuất huyết trở lại </w:t>
      </w:r>
    </w:p>
    <w:p w14:paraId="1DAD127C" w14:textId="1624EBA2" w:rsidR="00780568" w:rsidRDefault="00780568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TƯƠNG TÁC THUỐC:</w:t>
      </w:r>
    </w:p>
    <w:p w14:paraId="6E66EBEA" w14:textId="49DF5DDD" w:rsidR="00782F15" w:rsidRPr="00782F15" w:rsidRDefault="00782F15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ab/>
        <w:t>- Dùng Ambroxol với kháng sinh (amoxycillin, cefuroxim, ery</w:t>
      </w:r>
      <w:r w:rsidR="00C0114E">
        <w:rPr>
          <w:bCs/>
          <w:color w:val="000000" w:themeColor="text1"/>
          <w:szCs w:val="28"/>
        </w:rPr>
        <w:t>thromycin, doxycyclin) làm tăng nồng độ kháng sinh trong nhu mô phổi. Chưa có báo cáo về tương tác bất lợi với các thuốc khác trên lâm sàng.</w:t>
      </w:r>
    </w:p>
    <w:p w14:paraId="3EF961D9" w14:textId="122A5F26" w:rsidR="003444E4" w:rsidRDefault="000C3AFB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PHỤ NỮ CÓ THAI VÀ CHO CON BÚ:</w:t>
      </w:r>
    </w:p>
    <w:p w14:paraId="7E90F8B0" w14:textId="3827280B" w:rsidR="006F57C8" w:rsidRDefault="007E2AD3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</w:t>
      </w:r>
      <w:r w:rsidR="00735F9D">
        <w:rPr>
          <w:bCs/>
          <w:color w:val="000000" w:themeColor="text1"/>
          <w:szCs w:val="28"/>
        </w:rPr>
        <w:t xml:space="preserve"> Thận trọng khi dùng thuốc cho phụ nữ có thai trong 3 tháng đầu của thai kỳ.</w:t>
      </w:r>
    </w:p>
    <w:p w14:paraId="6BBFC35D" w14:textId="5F1E7D74" w:rsidR="00735F9D" w:rsidRPr="006F57C8" w:rsidRDefault="00735F9D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Chưa có thông tin </w:t>
      </w:r>
      <w:r w:rsidR="004C6E08">
        <w:rPr>
          <w:bCs/>
          <w:color w:val="000000" w:themeColor="text1"/>
          <w:szCs w:val="28"/>
        </w:rPr>
        <w:t xml:space="preserve">về nồng độ của bromhexin cũng như ambroxol trong sữa </w:t>
      </w:r>
      <w:r w:rsidR="00B845EC">
        <w:rPr>
          <w:bCs/>
          <w:color w:val="000000" w:themeColor="text1"/>
          <w:szCs w:val="28"/>
        </w:rPr>
        <w:t>mẹ.</w:t>
      </w:r>
    </w:p>
    <w:p w14:paraId="1612E88D" w14:textId="46D231FA" w:rsidR="000C3AFB" w:rsidRDefault="000C3AFB" w:rsidP="002E2864">
      <w:pPr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TÁC DỤNG KHÔNG MONG MUỐN</w:t>
      </w:r>
      <w:r w:rsidRPr="004A7B4D">
        <w:rPr>
          <w:color w:val="000000" w:themeColor="text1"/>
          <w:szCs w:val="28"/>
        </w:rPr>
        <w:t>:</w:t>
      </w:r>
    </w:p>
    <w:p w14:paraId="1B1763ED" w14:textId="294E137F" w:rsidR="00FA2423" w:rsidRDefault="00B845EC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val="vi-VN" w:eastAsia="vi-VN"/>
        </w:rPr>
        <w:tab/>
      </w: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- </w:t>
      </w:r>
      <w:r w:rsidR="00561C8E">
        <w:rPr>
          <w:rFonts w:eastAsia="Times New Roman" w:cs="Times New Roman"/>
          <w:color w:val="000000" w:themeColor="text1"/>
          <w:szCs w:val="28"/>
          <w:lang w:eastAsia="vi-VN"/>
        </w:rPr>
        <w:t xml:space="preserve">Thường gặp: </w:t>
      </w:r>
      <w:r w:rsidR="00632EA8">
        <w:rPr>
          <w:rFonts w:eastAsia="Times New Roman" w:cs="Times New Roman"/>
          <w:color w:val="000000" w:themeColor="text1"/>
          <w:szCs w:val="28"/>
          <w:lang w:eastAsia="vi-VN"/>
        </w:rPr>
        <w:t xml:space="preserve"> Tiêu hoá (Tai biến nhẹ, chủ yếu sau khi tiêm như ợ nóng, khó tiêu, đôi khi buồn nôn, nôn</w:t>
      </w:r>
      <w:r w:rsidR="005B3CF7">
        <w:rPr>
          <w:rFonts w:eastAsia="Times New Roman" w:cs="Times New Roman"/>
          <w:color w:val="000000" w:themeColor="text1"/>
          <w:szCs w:val="28"/>
          <w:lang w:eastAsia="vi-VN"/>
        </w:rPr>
        <w:t xml:space="preserve">. </w:t>
      </w:r>
    </w:p>
    <w:p w14:paraId="7C06640C" w14:textId="0FB37820" w:rsidR="002E11B7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>- Ít gặp: dị ứng, chủ yếu phát ban.</w:t>
      </w:r>
    </w:p>
    <w:p w14:paraId="66BB3B9D" w14:textId="28C3323C" w:rsidR="002E11B7" w:rsidRPr="00B845EC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>- Hiếm gặp: Phản ứng như phản vệ cấp tính</w:t>
      </w:r>
    </w:p>
    <w:p w14:paraId="6E7030B4" w14:textId="6B34EF30" w:rsidR="000C3AFB" w:rsidRDefault="002543D9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7B4D">
        <w:rPr>
          <w:color w:val="000000" w:themeColor="text1"/>
          <w:szCs w:val="28"/>
          <w:shd w:val="clear" w:color="auto" w:fill="FFFFFF"/>
        </w:rPr>
        <w:t xml:space="preserve"> </w:t>
      </w:r>
    </w:p>
    <w:p w14:paraId="2B882CF3" w14:textId="77777777" w:rsidR="0024432A" w:rsidRPr="0024432A" w:rsidRDefault="0024432A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1094E2B" w14:textId="66629CA9" w:rsidR="000C3AFB" w:rsidRPr="004A7B4D" w:rsidRDefault="000C3AFB" w:rsidP="002E2864">
      <w:pPr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Đơn giá:</w:t>
      </w:r>
      <w:r w:rsidRPr="004A7B4D">
        <w:rPr>
          <w:color w:val="000000" w:themeColor="text1"/>
          <w:szCs w:val="28"/>
        </w:rPr>
        <w:t xml:space="preserve"> </w:t>
      </w:r>
      <w:r w:rsidR="003613E3">
        <w:rPr>
          <w:color w:val="000000" w:themeColor="text1"/>
          <w:szCs w:val="28"/>
        </w:rPr>
        <w:t>27.000</w:t>
      </w:r>
      <w:r w:rsidR="005C40A6" w:rsidRPr="004A7B4D">
        <w:rPr>
          <w:color w:val="000000" w:themeColor="text1"/>
          <w:szCs w:val="28"/>
        </w:rPr>
        <w:t xml:space="preserve"> đồng/</w:t>
      </w:r>
      <w:r w:rsidR="003613E3">
        <w:rPr>
          <w:color w:val="000000" w:themeColor="text1"/>
          <w:szCs w:val="28"/>
        </w:rPr>
        <w:t>chai</w:t>
      </w:r>
    </w:p>
    <w:p w14:paraId="3D08AD4D" w14:textId="65A0B9E7" w:rsidR="000C3AFB" w:rsidRPr="004A7B4D" w:rsidRDefault="00FD12F4" w:rsidP="00F4024E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</w:t>
      </w:r>
      <w:r w:rsidR="000C3AFB" w:rsidRPr="004A7B4D">
        <w:rPr>
          <w:b/>
          <w:color w:val="000000" w:themeColor="text1"/>
          <w:szCs w:val="28"/>
        </w:rPr>
        <w:t>DS. NGUYỄN THỊ</w:t>
      </w:r>
      <w:r w:rsidR="005C40A6" w:rsidRPr="004A7B4D">
        <w:rPr>
          <w:b/>
          <w:color w:val="000000" w:themeColor="text1"/>
          <w:szCs w:val="28"/>
        </w:rPr>
        <w:t xml:space="preserve"> HƯỜNG</w:t>
      </w:r>
    </w:p>
    <w:p w14:paraId="10ED291C" w14:textId="77777777" w:rsidR="00780568" w:rsidRPr="004A7B4D" w:rsidRDefault="00780568" w:rsidP="002E2864">
      <w:pPr>
        <w:jc w:val="both"/>
        <w:rPr>
          <w:color w:val="000000" w:themeColor="text1"/>
          <w:szCs w:val="28"/>
        </w:rPr>
      </w:pPr>
    </w:p>
    <w:p w14:paraId="754ECB3E" w14:textId="77777777" w:rsidR="00EC19A3" w:rsidRPr="004A7B4D" w:rsidRDefault="00EC19A3">
      <w:pPr>
        <w:jc w:val="both"/>
        <w:rPr>
          <w:color w:val="000000" w:themeColor="text1"/>
          <w:szCs w:val="28"/>
        </w:rPr>
      </w:pPr>
    </w:p>
    <w:sectPr w:rsidR="00EC19A3" w:rsidRPr="004A7B4D" w:rsidSect="00427B3D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712"/>
    <w:multiLevelType w:val="hybridMultilevel"/>
    <w:tmpl w:val="21CAC2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27C"/>
    <w:multiLevelType w:val="hybridMultilevel"/>
    <w:tmpl w:val="7E3A0C16"/>
    <w:lvl w:ilvl="0" w:tplc="37EA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101CE"/>
    <w:multiLevelType w:val="hybridMultilevel"/>
    <w:tmpl w:val="C4A441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6ADE"/>
    <w:multiLevelType w:val="hybridMultilevel"/>
    <w:tmpl w:val="0722FE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6194">
    <w:abstractNumId w:val="1"/>
  </w:num>
  <w:num w:numId="2" w16cid:durableId="1684624465">
    <w:abstractNumId w:val="9"/>
  </w:num>
  <w:num w:numId="3" w16cid:durableId="967859869">
    <w:abstractNumId w:val="14"/>
  </w:num>
  <w:num w:numId="4" w16cid:durableId="829441188">
    <w:abstractNumId w:val="2"/>
  </w:num>
  <w:num w:numId="5" w16cid:durableId="1912930787">
    <w:abstractNumId w:val="3"/>
  </w:num>
  <w:num w:numId="6" w16cid:durableId="1055398417">
    <w:abstractNumId w:val="8"/>
  </w:num>
  <w:num w:numId="7" w16cid:durableId="133065404">
    <w:abstractNumId w:val="6"/>
  </w:num>
  <w:num w:numId="8" w16cid:durableId="1424763899">
    <w:abstractNumId w:val="13"/>
  </w:num>
  <w:num w:numId="9" w16cid:durableId="1642222525">
    <w:abstractNumId w:val="7"/>
  </w:num>
  <w:num w:numId="10" w16cid:durableId="186019370">
    <w:abstractNumId w:val="4"/>
  </w:num>
  <w:num w:numId="11" w16cid:durableId="1471243340">
    <w:abstractNumId w:val="11"/>
  </w:num>
  <w:num w:numId="12" w16cid:durableId="443497234">
    <w:abstractNumId w:val="12"/>
  </w:num>
  <w:num w:numId="13" w16cid:durableId="47001548">
    <w:abstractNumId w:val="10"/>
  </w:num>
  <w:num w:numId="14" w16cid:durableId="937758434">
    <w:abstractNumId w:val="16"/>
  </w:num>
  <w:num w:numId="15" w16cid:durableId="259072457">
    <w:abstractNumId w:val="0"/>
  </w:num>
  <w:num w:numId="16" w16cid:durableId="974607949">
    <w:abstractNumId w:val="15"/>
  </w:num>
  <w:num w:numId="17" w16cid:durableId="18239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4"/>
    <w:rsid w:val="00002A96"/>
    <w:rsid w:val="0000378A"/>
    <w:rsid w:val="00005884"/>
    <w:rsid w:val="00005F43"/>
    <w:rsid w:val="00007038"/>
    <w:rsid w:val="00020C0A"/>
    <w:rsid w:val="000402A2"/>
    <w:rsid w:val="00086910"/>
    <w:rsid w:val="00093FA3"/>
    <w:rsid w:val="00094798"/>
    <w:rsid w:val="000967D2"/>
    <w:rsid w:val="000A167E"/>
    <w:rsid w:val="000B7027"/>
    <w:rsid w:val="000C3AFB"/>
    <w:rsid w:val="001033DF"/>
    <w:rsid w:val="001336CC"/>
    <w:rsid w:val="001417DC"/>
    <w:rsid w:val="00142F42"/>
    <w:rsid w:val="00145878"/>
    <w:rsid w:val="00153581"/>
    <w:rsid w:val="001643C8"/>
    <w:rsid w:val="00165983"/>
    <w:rsid w:val="0018471E"/>
    <w:rsid w:val="001A46B9"/>
    <w:rsid w:val="001D2281"/>
    <w:rsid w:val="00215215"/>
    <w:rsid w:val="00240930"/>
    <w:rsid w:val="0024432A"/>
    <w:rsid w:val="002543D9"/>
    <w:rsid w:val="00282E2B"/>
    <w:rsid w:val="00290207"/>
    <w:rsid w:val="00293F80"/>
    <w:rsid w:val="002A33E6"/>
    <w:rsid w:val="002D0828"/>
    <w:rsid w:val="002E11B7"/>
    <w:rsid w:val="002E2864"/>
    <w:rsid w:val="002E406B"/>
    <w:rsid w:val="002E7EAE"/>
    <w:rsid w:val="00300BEB"/>
    <w:rsid w:val="00300EB0"/>
    <w:rsid w:val="00310CF3"/>
    <w:rsid w:val="00311142"/>
    <w:rsid w:val="003444E4"/>
    <w:rsid w:val="003613E3"/>
    <w:rsid w:val="003A0F5B"/>
    <w:rsid w:val="003A62C3"/>
    <w:rsid w:val="003C4A1D"/>
    <w:rsid w:val="003E54D4"/>
    <w:rsid w:val="003F2A85"/>
    <w:rsid w:val="003F557D"/>
    <w:rsid w:val="00427B3D"/>
    <w:rsid w:val="00430B0E"/>
    <w:rsid w:val="00450D12"/>
    <w:rsid w:val="00456EA6"/>
    <w:rsid w:val="00461589"/>
    <w:rsid w:val="00464A29"/>
    <w:rsid w:val="004720E0"/>
    <w:rsid w:val="004A7990"/>
    <w:rsid w:val="004A7B4D"/>
    <w:rsid w:val="004C122F"/>
    <w:rsid w:val="004C6E08"/>
    <w:rsid w:val="004E668D"/>
    <w:rsid w:val="005026C2"/>
    <w:rsid w:val="005034A6"/>
    <w:rsid w:val="00510A40"/>
    <w:rsid w:val="00533101"/>
    <w:rsid w:val="005450B8"/>
    <w:rsid w:val="005466F8"/>
    <w:rsid w:val="00561C8E"/>
    <w:rsid w:val="00563088"/>
    <w:rsid w:val="00565023"/>
    <w:rsid w:val="00571EB9"/>
    <w:rsid w:val="005B3CF7"/>
    <w:rsid w:val="005B5933"/>
    <w:rsid w:val="005B7D39"/>
    <w:rsid w:val="005C40A6"/>
    <w:rsid w:val="005D5B7E"/>
    <w:rsid w:val="005D6ED7"/>
    <w:rsid w:val="00632EA8"/>
    <w:rsid w:val="00637CC9"/>
    <w:rsid w:val="00691251"/>
    <w:rsid w:val="006B0BF3"/>
    <w:rsid w:val="006D7858"/>
    <w:rsid w:val="006E242C"/>
    <w:rsid w:val="006F57C8"/>
    <w:rsid w:val="00703CEB"/>
    <w:rsid w:val="00726A0D"/>
    <w:rsid w:val="007313EA"/>
    <w:rsid w:val="00735F9D"/>
    <w:rsid w:val="00751200"/>
    <w:rsid w:val="00780568"/>
    <w:rsid w:val="00782F15"/>
    <w:rsid w:val="0079172A"/>
    <w:rsid w:val="00795966"/>
    <w:rsid w:val="007A22F8"/>
    <w:rsid w:val="007B1197"/>
    <w:rsid w:val="007B22DB"/>
    <w:rsid w:val="007B68A9"/>
    <w:rsid w:val="007D122A"/>
    <w:rsid w:val="007D647F"/>
    <w:rsid w:val="007E28F3"/>
    <w:rsid w:val="007E2AD3"/>
    <w:rsid w:val="00800450"/>
    <w:rsid w:val="0080329A"/>
    <w:rsid w:val="00891753"/>
    <w:rsid w:val="00894AB6"/>
    <w:rsid w:val="008970FA"/>
    <w:rsid w:val="008D30BE"/>
    <w:rsid w:val="008D52A9"/>
    <w:rsid w:val="008E18D6"/>
    <w:rsid w:val="008E7F50"/>
    <w:rsid w:val="008F16E3"/>
    <w:rsid w:val="00901B37"/>
    <w:rsid w:val="00912705"/>
    <w:rsid w:val="00960F6E"/>
    <w:rsid w:val="0096124E"/>
    <w:rsid w:val="00967188"/>
    <w:rsid w:val="009960F5"/>
    <w:rsid w:val="00997068"/>
    <w:rsid w:val="009B3B8A"/>
    <w:rsid w:val="009D3109"/>
    <w:rsid w:val="009E555E"/>
    <w:rsid w:val="009F4DC9"/>
    <w:rsid w:val="00A60B0D"/>
    <w:rsid w:val="00A74088"/>
    <w:rsid w:val="00AB002F"/>
    <w:rsid w:val="00AB4A63"/>
    <w:rsid w:val="00AC11F3"/>
    <w:rsid w:val="00B1072F"/>
    <w:rsid w:val="00B22606"/>
    <w:rsid w:val="00B26C70"/>
    <w:rsid w:val="00B31D24"/>
    <w:rsid w:val="00B34B7B"/>
    <w:rsid w:val="00B60CB5"/>
    <w:rsid w:val="00B762A6"/>
    <w:rsid w:val="00B80104"/>
    <w:rsid w:val="00B845EC"/>
    <w:rsid w:val="00B911D6"/>
    <w:rsid w:val="00B92BB1"/>
    <w:rsid w:val="00BE1F42"/>
    <w:rsid w:val="00BF57B1"/>
    <w:rsid w:val="00C0114E"/>
    <w:rsid w:val="00C461D6"/>
    <w:rsid w:val="00C610C8"/>
    <w:rsid w:val="00C627F1"/>
    <w:rsid w:val="00C66F42"/>
    <w:rsid w:val="00CA6DE5"/>
    <w:rsid w:val="00CB424C"/>
    <w:rsid w:val="00CB6CCC"/>
    <w:rsid w:val="00CD74F1"/>
    <w:rsid w:val="00CF03EC"/>
    <w:rsid w:val="00D11A67"/>
    <w:rsid w:val="00D12AAA"/>
    <w:rsid w:val="00D17438"/>
    <w:rsid w:val="00D74E8D"/>
    <w:rsid w:val="00D8120E"/>
    <w:rsid w:val="00D81ED4"/>
    <w:rsid w:val="00D912B1"/>
    <w:rsid w:val="00DA633F"/>
    <w:rsid w:val="00DE2474"/>
    <w:rsid w:val="00DE5389"/>
    <w:rsid w:val="00E00C89"/>
    <w:rsid w:val="00E1395F"/>
    <w:rsid w:val="00E14516"/>
    <w:rsid w:val="00E14C1B"/>
    <w:rsid w:val="00E358D5"/>
    <w:rsid w:val="00E44BE7"/>
    <w:rsid w:val="00E5733B"/>
    <w:rsid w:val="00E615EE"/>
    <w:rsid w:val="00E755E9"/>
    <w:rsid w:val="00E765D0"/>
    <w:rsid w:val="00E87571"/>
    <w:rsid w:val="00EB6BF5"/>
    <w:rsid w:val="00EC19A3"/>
    <w:rsid w:val="00EE6824"/>
    <w:rsid w:val="00EF2C90"/>
    <w:rsid w:val="00EF560C"/>
    <w:rsid w:val="00F007B7"/>
    <w:rsid w:val="00F1214C"/>
    <w:rsid w:val="00F2239A"/>
    <w:rsid w:val="00F4024E"/>
    <w:rsid w:val="00F72394"/>
    <w:rsid w:val="00FA1FA1"/>
    <w:rsid w:val="00FA2423"/>
    <w:rsid w:val="00FA4E65"/>
    <w:rsid w:val="00FD12F4"/>
    <w:rsid w:val="00FD351F"/>
    <w:rsid w:val="00FD577F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5138A076-32DC-4F0E-9807-01383BE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7</cp:revision>
  <cp:lastPrinted>2021-02-02T08:08:00Z</cp:lastPrinted>
  <dcterms:created xsi:type="dcterms:W3CDTF">2024-02-19T02:01:00Z</dcterms:created>
  <dcterms:modified xsi:type="dcterms:W3CDTF">2024-02-19T03:34:00Z</dcterms:modified>
</cp:coreProperties>
</file>