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0B62" w14:textId="32E35E55" w:rsidR="00406EFE" w:rsidRPr="00CF1E6A" w:rsidRDefault="00406EFE" w:rsidP="00406EFE">
      <w:pPr>
        <w:rPr>
          <w:rFonts w:cs="Times New Roman"/>
          <w:b/>
          <w:sz w:val="24"/>
          <w:szCs w:val="24"/>
          <w:u w:val="single"/>
          <w:lang w:val="en-US"/>
        </w:rPr>
      </w:pPr>
      <w:r w:rsidRPr="00CF1E6A">
        <w:rPr>
          <w:rFonts w:cs="Times New Roman"/>
          <w:b/>
          <w:sz w:val="24"/>
          <w:szCs w:val="24"/>
          <w:u w:val="single"/>
        </w:rPr>
        <w:t xml:space="preserve">ĐƠN VỊ THÔNG TIN THUỐC BV PHCN -  THÁNG </w:t>
      </w:r>
      <w:r w:rsidR="00213121">
        <w:rPr>
          <w:rFonts w:cs="Times New Roman"/>
          <w:b/>
          <w:sz w:val="24"/>
          <w:szCs w:val="24"/>
          <w:u w:val="single"/>
          <w:lang w:val="en-US"/>
        </w:rPr>
        <w:t>05/2025</w:t>
      </w:r>
    </w:p>
    <w:p w14:paraId="29B16214" w14:textId="77777777" w:rsidR="00406EFE" w:rsidRDefault="00406EFE" w:rsidP="00747039">
      <w:pPr>
        <w:jc w:val="center"/>
        <w:rPr>
          <w:b/>
          <w:sz w:val="40"/>
          <w:szCs w:val="40"/>
          <w:lang w:val="en-US"/>
        </w:rPr>
      </w:pPr>
    </w:p>
    <w:p w14:paraId="150C6AF1" w14:textId="44FAE68D" w:rsidR="006C772A" w:rsidRPr="00E01912" w:rsidRDefault="00B11C6C" w:rsidP="00F730B9">
      <w:pPr>
        <w:spacing w:line="360" w:lineRule="auto"/>
        <w:jc w:val="center"/>
        <w:rPr>
          <w:bCs/>
          <w:sz w:val="40"/>
          <w:szCs w:val="40"/>
          <w:lang w:val="en-US"/>
        </w:rPr>
      </w:pPr>
      <w:r>
        <w:rPr>
          <w:bCs/>
          <w:sz w:val="40"/>
          <w:szCs w:val="40"/>
          <w:lang w:val="en-US"/>
        </w:rPr>
        <w:t xml:space="preserve">GLUCOSE </w:t>
      </w:r>
      <w:r w:rsidR="00213121">
        <w:rPr>
          <w:bCs/>
          <w:sz w:val="40"/>
          <w:szCs w:val="40"/>
          <w:lang w:val="en-US"/>
        </w:rPr>
        <w:t>10%</w:t>
      </w:r>
    </w:p>
    <w:p w14:paraId="186F5294" w14:textId="348C631F" w:rsidR="00747039" w:rsidRPr="00747039" w:rsidRDefault="00817D6A" w:rsidP="00817D6A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5DCBD5BD" wp14:editId="7E5FCF82">
            <wp:extent cx="857250" cy="2057400"/>
            <wp:effectExtent l="0" t="0" r="0" b="0"/>
            <wp:docPr id="205552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95" cy="208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C5FF" w14:textId="7BED5864" w:rsidR="00D7218C" w:rsidRPr="005818F1" w:rsidRDefault="00D7218C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>Thành phần:</w:t>
      </w:r>
      <w:r w:rsidR="002D31D6"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213121">
        <w:rPr>
          <w:rFonts w:cs="Times New Roman"/>
          <w:bCs/>
          <w:color w:val="000000" w:themeColor="text1"/>
          <w:sz w:val="26"/>
          <w:szCs w:val="26"/>
          <w:lang w:val="en-US"/>
        </w:rPr>
        <w:t>Công thức bào chế cho 100 ml thành phẩm:</w:t>
      </w:r>
    </w:p>
    <w:p w14:paraId="1B86837B" w14:textId="151C2723" w:rsidR="002D31D6" w:rsidRPr="00C013E3" w:rsidRDefault="00C013E3" w:rsidP="00C013E3">
      <w:pPr>
        <w:shd w:val="clear" w:color="auto" w:fill="FFFFFF"/>
        <w:ind w:firstLine="66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- </w:t>
      </w:r>
      <w:r w:rsidR="001D3905" w:rsidRPr="00C013E3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Glucose </w:t>
      </w: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monohydrat tương đương glucose khan </w:t>
      </w:r>
      <w:r w:rsidR="002D31D6" w:rsidRPr="00C013E3">
        <w:rPr>
          <w:rFonts w:eastAsia="Times New Roman" w:cs="Times New Roman"/>
          <w:color w:val="000000" w:themeColor="text1"/>
          <w:sz w:val="26"/>
          <w:szCs w:val="26"/>
          <w:lang w:val="en-US"/>
        </w:rPr>
        <w:t>………………</w:t>
      </w: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>10 g.</w:t>
      </w:r>
    </w:p>
    <w:p w14:paraId="4E57CB21" w14:textId="00B9CFBF" w:rsidR="0083391B" w:rsidRPr="005818F1" w:rsidRDefault="00C013E3" w:rsidP="002D31D6">
      <w:pPr>
        <w:pStyle w:val="ListParagraph"/>
        <w:shd w:val="clear" w:color="auto" w:fill="FFFFFF"/>
        <w:ind w:left="66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- Nước cất pha tiêm vừa đủ </w:t>
      </w:r>
      <w:r w:rsidR="000F2EE7">
        <w:rPr>
          <w:rFonts w:eastAsia="Times New Roman" w:cs="Times New Roman"/>
          <w:color w:val="000000" w:themeColor="text1"/>
          <w:sz w:val="26"/>
          <w:szCs w:val="26"/>
          <w:lang w:val="en-US"/>
        </w:rPr>
        <w:t>………………………………………100 ml</w:t>
      </w:r>
    </w:p>
    <w:p w14:paraId="0B8E2A9D" w14:textId="2455DE4F" w:rsidR="00577590" w:rsidRPr="005818F1" w:rsidRDefault="00D01F22" w:rsidP="00F06E9D">
      <w:pPr>
        <w:shd w:val="clear" w:color="auto" w:fill="FFFFFF"/>
        <w:ind w:left="-6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5818F1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CD3593" w:rsidRPr="005818F1"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  <w:t>Dạng bào chế:</w:t>
      </w:r>
      <w:r w:rsidR="00CD3593" w:rsidRPr="005818F1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Dung dịch tiêm truyền</w:t>
      </w:r>
      <w:r w:rsidR="008B7671" w:rsidRPr="005818F1">
        <w:rPr>
          <w:rFonts w:eastAsia="Times New Roman" w:cs="Times New Roman"/>
          <w:color w:val="000000" w:themeColor="text1"/>
          <w:sz w:val="26"/>
          <w:szCs w:val="26"/>
          <w:lang w:val="en-US"/>
        </w:rPr>
        <w:t>.</w:t>
      </w:r>
      <w:r w:rsidR="00577590" w:rsidRPr="005818F1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</w:t>
      </w:r>
    </w:p>
    <w:p w14:paraId="4433DD58" w14:textId="3BBA6989" w:rsidR="007633B6" w:rsidRDefault="007633B6" w:rsidP="007633B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5818F1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Chỉ định:</w:t>
      </w:r>
    </w:p>
    <w:p w14:paraId="7D83819D" w14:textId="38C6B29D" w:rsidR="007A360E" w:rsidRDefault="007A360E" w:rsidP="007633B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ab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>Phòng và điều trị hạ đường huyết</w:t>
      </w:r>
    </w:p>
    <w:p w14:paraId="0B97B37E" w14:textId="692B420F" w:rsidR="006769E2" w:rsidRDefault="006769E2" w:rsidP="007633B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Mất nước hoặc mất nước kèm theo có nhu cầu cao carbonhydrat.</w:t>
      </w:r>
    </w:p>
    <w:p w14:paraId="6EAFE768" w14:textId="4405D1AB" w:rsidR="006769E2" w:rsidRDefault="006769E2" w:rsidP="007633B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Cung cấp năng lượng trong chế độ dinh dưỡng lâm sàng</w:t>
      </w:r>
      <w:r w:rsidR="000B7967">
        <w:rPr>
          <w:rFonts w:eastAsia="Times New Roman" w:cs="Times New Roman"/>
          <w:color w:val="000000" w:themeColor="text1"/>
          <w:sz w:val="26"/>
          <w:szCs w:val="26"/>
          <w:lang w:val="en-US"/>
        </w:rPr>
        <w:t>.</w:t>
      </w:r>
    </w:p>
    <w:p w14:paraId="4E595B8F" w14:textId="41CAB551" w:rsidR="000B7967" w:rsidRPr="007A360E" w:rsidRDefault="000B7967" w:rsidP="007633B6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Dùng để pha loãng các sản phẩm tương thích.</w:t>
      </w:r>
    </w:p>
    <w:p w14:paraId="3F7E4653" w14:textId="2FD87D00" w:rsidR="003A0B9A" w:rsidRDefault="007633B6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5818F1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Chống chỉ định</w:t>
      </w:r>
      <w:r w:rsidR="008271A4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:</w:t>
      </w:r>
    </w:p>
    <w:p w14:paraId="7D401B92" w14:textId="433ADFB6" w:rsidR="008271A4" w:rsidRDefault="008271A4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ab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>Bệnh tiểu đường mất bù, đái tháo nhạt,</w:t>
      </w:r>
    </w:p>
    <w:p w14:paraId="36E6B3C0" w14:textId="44A51D90" w:rsidR="008271A4" w:rsidRDefault="008271A4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Hôn mê tăng thẩm thấu,</w:t>
      </w:r>
    </w:p>
    <w:p w14:paraId="0049181D" w14:textId="0B719DB9" w:rsidR="008271A4" w:rsidRDefault="008271A4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4A6604">
        <w:rPr>
          <w:rFonts w:eastAsia="Times New Roman" w:cs="Times New Roman"/>
          <w:color w:val="000000" w:themeColor="text1"/>
          <w:sz w:val="26"/>
          <w:szCs w:val="26"/>
          <w:lang w:val="en-US"/>
        </w:rPr>
        <w:t>Chứng loãng máu, tăng lượng nước ngoài tế bào, tăng dung lượng máu lớn.</w:t>
      </w:r>
    </w:p>
    <w:p w14:paraId="77C23A57" w14:textId="30FD73C9" w:rsidR="004A6604" w:rsidRDefault="004A6604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590D84">
        <w:rPr>
          <w:rFonts w:eastAsia="Times New Roman" w:cs="Times New Roman"/>
          <w:color w:val="000000" w:themeColor="text1"/>
          <w:sz w:val="26"/>
          <w:szCs w:val="26"/>
          <w:lang w:val="en-US"/>
        </w:rPr>
        <w:t>Tăng đường huyết và tăng lactat máu,</w:t>
      </w:r>
    </w:p>
    <w:p w14:paraId="37EB615C" w14:textId="542E8FEA" w:rsidR="00590D84" w:rsidRDefault="00590D84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Suy thận nặng (với thiểu niệu</w:t>
      </w:r>
      <w:r w:rsidR="003554D3">
        <w:rPr>
          <w:rFonts w:eastAsia="Times New Roman" w:cs="Times New Roman"/>
          <w:color w:val="000000" w:themeColor="text1"/>
          <w:sz w:val="26"/>
          <w:szCs w:val="26"/>
          <w:lang w:val="en-US"/>
        </w:rPr>
        <w:t>/vô niệu),</w:t>
      </w:r>
    </w:p>
    <w:p w14:paraId="456C31B9" w14:textId="43FA1937" w:rsidR="003554D3" w:rsidRDefault="003554D3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Suy tim mất bù,</w:t>
      </w:r>
    </w:p>
    <w:p w14:paraId="3D462F25" w14:textId="2F94A850" w:rsidR="003554D3" w:rsidRDefault="003554D3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Phù (bao gồm phù phổi và phù não) và xơ gan cổ trướng,</w:t>
      </w:r>
    </w:p>
    <w:p w14:paraId="11E7ED13" w14:textId="4EF1D29F" w:rsidR="003554D3" w:rsidRDefault="003554D3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Không dung nạp glucose</w:t>
      </w:r>
      <w:r w:rsidR="00307D7F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(như tình trạng rối loạn chuyển hoá).</w:t>
      </w:r>
    </w:p>
    <w:p w14:paraId="1BD2F7B2" w14:textId="7EAE99E1" w:rsidR="00307D7F" w:rsidRDefault="00307D7F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Các trường hợp quá mẫn với hoạt chất thuốc.</w:t>
      </w:r>
    </w:p>
    <w:p w14:paraId="6DF73B89" w14:textId="4DFB5F1F" w:rsidR="00307D7F" w:rsidRDefault="00307D7F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Cần xem xét các chống chỉ định </w:t>
      </w:r>
      <w:r w:rsidR="00A7409D">
        <w:rPr>
          <w:rFonts w:eastAsia="Times New Roman" w:cs="Times New Roman"/>
          <w:color w:val="000000" w:themeColor="text1"/>
          <w:sz w:val="26"/>
          <w:szCs w:val="26"/>
          <w:lang w:val="en-US"/>
        </w:rPr>
        <w:t>có liên quan đến các sản phẩm thuốc pha loãng cùng dung dịch glucose 10%</w:t>
      </w:r>
      <w:r w:rsidR="001F57AD">
        <w:rPr>
          <w:rFonts w:eastAsia="Times New Roman" w:cs="Times New Roman"/>
          <w:color w:val="000000" w:themeColor="text1"/>
          <w:sz w:val="26"/>
          <w:szCs w:val="26"/>
          <w:lang w:val="en-US"/>
        </w:rPr>
        <w:t>.</w:t>
      </w:r>
    </w:p>
    <w:p w14:paraId="3A70097D" w14:textId="75455944" w:rsidR="001F57AD" w:rsidRDefault="001F57AD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Tình trạng mất nước nhược trương nếu lượng chất điện giải không được bù đắp.</w:t>
      </w:r>
    </w:p>
    <w:p w14:paraId="0E296662" w14:textId="2FA075AD" w:rsidR="001F57AD" w:rsidRDefault="001F57AD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Bệnh nhân sau tai biến mạch máu não</w:t>
      </w:r>
    </w:p>
    <w:p w14:paraId="033DBCFE" w14:textId="017091BE" w:rsidR="0038142E" w:rsidRPr="008271A4" w:rsidRDefault="0038142E" w:rsidP="008271A4">
      <w:pPr>
        <w:shd w:val="clear" w:color="auto" w:fill="FFFFFF"/>
        <w:spacing w:line="270" w:lineRule="atLeast"/>
        <w:jc w:val="both"/>
        <w:outlineLvl w:val="2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Mê sảng do rượu kèm mất nước, ngộ độc rượu cấp.</w:t>
      </w:r>
    </w:p>
    <w:p w14:paraId="7ADF1BC7" w14:textId="63FE6B49" w:rsidR="007633B6" w:rsidRDefault="007633B6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5818F1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>Liều lượng - cách dùng:</w:t>
      </w:r>
      <w:r w:rsidR="00363F78"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363F78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Liều dùng và tốc độ truyền của glucose 10% </w:t>
      </w:r>
      <w:r w:rsidR="00C3602E">
        <w:rPr>
          <w:rFonts w:eastAsia="Times New Roman" w:cs="Times New Roman"/>
          <w:color w:val="000000" w:themeColor="text1"/>
          <w:sz w:val="26"/>
          <w:szCs w:val="26"/>
          <w:lang w:val="en-US"/>
        </w:rPr>
        <w:t>phụ thuộc vào nhiều yếu tố, bao gồm: chỉ định sử dụng, lứa tuổi, cân nặng, tình trạng lâm sàng.</w:t>
      </w:r>
    </w:p>
    <w:p w14:paraId="29BAE63B" w14:textId="009589E4" w:rsidR="00C3602E" w:rsidRDefault="00C3602E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Người lớn và người cao tuổi:</w:t>
      </w:r>
      <w:r w:rsidR="00F71EB7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chỉ dẫn liều dùng cho người có cân nặng trung bình 70 kg.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656C4" w14:paraId="276903AF" w14:textId="77777777" w:rsidTr="00B656C4">
        <w:tc>
          <w:tcPr>
            <w:tcW w:w="2407" w:type="dxa"/>
          </w:tcPr>
          <w:p w14:paraId="780E278A" w14:textId="69C1E5B6" w:rsidR="00B656C4" w:rsidRPr="00C31E19" w:rsidRDefault="00B656C4" w:rsidP="00C31E1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31E1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Chỉ định</w:t>
            </w:r>
          </w:p>
        </w:tc>
        <w:tc>
          <w:tcPr>
            <w:tcW w:w="2407" w:type="dxa"/>
          </w:tcPr>
          <w:p w14:paraId="520FC9AD" w14:textId="33524B50" w:rsidR="00B656C4" w:rsidRPr="00C31E19" w:rsidRDefault="00B656C4" w:rsidP="00C31E1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31E1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Liều dùng ban đầu</w:t>
            </w:r>
          </w:p>
        </w:tc>
        <w:tc>
          <w:tcPr>
            <w:tcW w:w="2407" w:type="dxa"/>
          </w:tcPr>
          <w:p w14:paraId="42B8C518" w14:textId="34461CAA" w:rsidR="00B656C4" w:rsidRPr="00C31E19" w:rsidRDefault="00B656C4" w:rsidP="00C31E1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31E1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Tốc độ truyền</w:t>
            </w:r>
          </w:p>
        </w:tc>
        <w:tc>
          <w:tcPr>
            <w:tcW w:w="2407" w:type="dxa"/>
          </w:tcPr>
          <w:p w14:paraId="456DFBFD" w14:textId="659F72D5" w:rsidR="00B656C4" w:rsidRPr="00C31E19" w:rsidRDefault="00B656C4" w:rsidP="00C31E1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C31E1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Khoảng thời gian điều trị</w:t>
            </w:r>
          </w:p>
        </w:tc>
      </w:tr>
      <w:tr w:rsidR="0017483A" w14:paraId="180619C8" w14:textId="77777777" w:rsidTr="00B656C4">
        <w:tc>
          <w:tcPr>
            <w:tcW w:w="2407" w:type="dxa"/>
          </w:tcPr>
          <w:p w14:paraId="02BF2433" w14:textId="1F53942B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Cung cấp năng lương trong chế độ dinh dưỡng lâm sàng</w:t>
            </w:r>
          </w:p>
        </w:tc>
        <w:tc>
          <w:tcPr>
            <w:tcW w:w="2407" w:type="dxa"/>
            <w:vMerge w:val="restart"/>
          </w:tcPr>
          <w:p w14:paraId="79DC60E9" w14:textId="7D271778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Từ 500 ml đến 3000 ml/ngày (từ 7 đến 40 ml/kg/ngày)</w:t>
            </w:r>
          </w:p>
        </w:tc>
        <w:tc>
          <w:tcPr>
            <w:tcW w:w="2407" w:type="dxa"/>
            <w:vMerge w:val="restart"/>
          </w:tcPr>
          <w:p w14:paraId="167EC72E" w14:textId="33711D7D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Tốc độ truyền khuyến cáo tối đa không được vượt quá quá trình oxy hoá glucose của bệnh nhân, vì điều này có thể gây tăng đường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huyết: 5 mg/kg/phút (3 ml/kg/giờ).</w:t>
            </w:r>
          </w:p>
        </w:tc>
        <w:tc>
          <w:tcPr>
            <w:tcW w:w="2407" w:type="dxa"/>
            <w:vMerge w:val="restart"/>
          </w:tcPr>
          <w:p w14:paraId="18ABF5EC" w14:textId="48B6A110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Không giới hạn về thời gian điều trị </w:t>
            </w:r>
            <w:r w:rsidR="00B221CC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- tuỳ thuộc vào tình trạng lâm sàng của người bệnh.</w:t>
            </w:r>
          </w:p>
        </w:tc>
      </w:tr>
      <w:tr w:rsidR="0017483A" w14:paraId="3766DE8C" w14:textId="77777777" w:rsidTr="00B656C4">
        <w:tc>
          <w:tcPr>
            <w:tcW w:w="2407" w:type="dxa"/>
          </w:tcPr>
          <w:p w14:paraId="3D17C63A" w14:textId="7B1549D4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Phòng và điều trị hạ đường huyết</w:t>
            </w:r>
          </w:p>
        </w:tc>
        <w:tc>
          <w:tcPr>
            <w:tcW w:w="2407" w:type="dxa"/>
            <w:vMerge/>
          </w:tcPr>
          <w:p w14:paraId="541C7E3A" w14:textId="77777777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407" w:type="dxa"/>
            <w:vMerge/>
          </w:tcPr>
          <w:p w14:paraId="64236B22" w14:textId="77777777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407" w:type="dxa"/>
            <w:vMerge/>
          </w:tcPr>
          <w:p w14:paraId="3DD1DF0E" w14:textId="77777777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7483A" w14:paraId="5D755EC1" w14:textId="77777777" w:rsidTr="00B656C4">
        <w:tc>
          <w:tcPr>
            <w:tcW w:w="2407" w:type="dxa"/>
          </w:tcPr>
          <w:p w14:paraId="00747F20" w14:textId="3AF3BA0F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Mất nước hoặc mất nước kèm theo có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nhu cầu cao carbonhydrat</w:t>
            </w:r>
          </w:p>
        </w:tc>
        <w:tc>
          <w:tcPr>
            <w:tcW w:w="2407" w:type="dxa"/>
            <w:vMerge/>
          </w:tcPr>
          <w:p w14:paraId="103D8F12" w14:textId="77777777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407" w:type="dxa"/>
            <w:vMerge/>
          </w:tcPr>
          <w:p w14:paraId="24A671F8" w14:textId="77777777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407" w:type="dxa"/>
            <w:vMerge/>
          </w:tcPr>
          <w:p w14:paraId="206F0090" w14:textId="77777777" w:rsidR="0017483A" w:rsidRDefault="0017483A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656C4" w14:paraId="090905F1" w14:textId="77777777" w:rsidTr="00B656C4">
        <w:tc>
          <w:tcPr>
            <w:tcW w:w="2407" w:type="dxa"/>
          </w:tcPr>
          <w:p w14:paraId="7AC0EA6A" w14:textId="2B7165D0" w:rsidR="00B656C4" w:rsidRDefault="0033033B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Dùng để pha loãng các sản phẩm </w:t>
            </w:r>
            <w:r w:rsidR="00F12514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thuốc tương thích.</w:t>
            </w:r>
          </w:p>
        </w:tc>
        <w:tc>
          <w:tcPr>
            <w:tcW w:w="2407" w:type="dxa"/>
          </w:tcPr>
          <w:p w14:paraId="55EDD400" w14:textId="27638D47" w:rsidR="00B656C4" w:rsidRDefault="00E91E98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Từ 20 đến 250 ml trên liều dùng</w:t>
            </w:r>
          </w:p>
        </w:tc>
        <w:tc>
          <w:tcPr>
            <w:tcW w:w="2407" w:type="dxa"/>
          </w:tcPr>
          <w:p w14:paraId="1FEAE8A2" w14:textId="0279BC73" w:rsidR="00B656C4" w:rsidRDefault="00E91E98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Tuỳ thuộc vào thuốc pha loãng cùng</w:t>
            </w:r>
          </w:p>
        </w:tc>
        <w:tc>
          <w:tcPr>
            <w:tcW w:w="2407" w:type="dxa"/>
          </w:tcPr>
          <w:p w14:paraId="11EB4028" w14:textId="0E316D0F" w:rsidR="00B656C4" w:rsidRDefault="00AB6E82" w:rsidP="00304850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Tuỳ thuộc vào thuốc pha loãng cùng.</w:t>
            </w:r>
          </w:p>
        </w:tc>
      </w:tr>
    </w:tbl>
    <w:p w14:paraId="79F225D4" w14:textId="07D0EDA4" w:rsidR="008763A7" w:rsidRDefault="008763A7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</w:p>
    <w:p w14:paraId="12AD0489" w14:textId="77AAC262" w:rsidR="006806BC" w:rsidRDefault="006806BC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Bệnh nhi: </w:t>
      </w:r>
      <w:r w:rsidR="00AC4DBC">
        <w:rPr>
          <w:rFonts w:eastAsia="Times New Roman" w:cs="Times New Roman"/>
          <w:color w:val="000000" w:themeColor="text1"/>
          <w:sz w:val="26"/>
          <w:szCs w:val="26"/>
          <w:lang w:val="en-US"/>
        </w:rPr>
        <w:t>Tốc độ truyền và thể tích tuỳ thuộc vào lứa tuổi, cân nặng, tình trạng lâm sàng và tình trạng chuyển hoá của bệnh nhân</w:t>
      </w:r>
      <w:r w:rsidR="001E26A9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, việc điều trị và kiểm soát phải được làm </w:t>
      </w:r>
      <w:r w:rsidR="002C2D32">
        <w:rPr>
          <w:rFonts w:eastAsia="Times New Roman" w:cs="Times New Roman"/>
          <w:color w:val="000000" w:themeColor="text1"/>
          <w:sz w:val="26"/>
          <w:szCs w:val="26"/>
          <w:lang w:val="en-US"/>
        </w:rPr>
        <w:t>bởi bác sĩ có kinh nghiệm trong sử dụng liệu pháp dịch truyền tĩnh mạch ở bệnh nhân nhi.</w:t>
      </w:r>
    </w:p>
    <w:p w14:paraId="51DFF3D8" w14:textId="2EC58385" w:rsidR="002C2D32" w:rsidRDefault="002C2D32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>Chỉ dẫn liều dùng cho bệnh nhân nhi: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791"/>
        <w:gridCol w:w="1560"/>
        <w:gridCol w:w="1560"/>
        <w:gridCol w:w="1560"/>
        <w:gridCol w:w="1560"/>
      </w:tblGrid>
      <w:tr w:rsidR="00FF76E2" w14:paraId="58385EAA" w14:textId="77777777" w:rsidTr="004213C1">
        <w:tc>
          <w:tcPr>
            <w:tcW w:w="1597" w:type="dxa"/>
          </w:tcPr>
          <w:p w14:paraId="67E6A35F" w14:textId="10593582" w:rsidR="00115DA7" w:rsidRPr="00DF5836" w:rsidRDefault="00115DA7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Chỉ định</w:t>
            </w:r>
          </w:p>
        </w:tc>
        <w:tc>
          <w:tcPr>
            <w:tcW w:w="1791" w:type="dxa"/>
          </w:tcPr>
          <w:p w14:paraId="16165299" w14:textId="68D00509" w:rsidR="00115DA7" w:rsidRPr="00DF5836" w:rsidRDefault="00115DA7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Liều dùng ban đầu</w:t>
            </w:r>
          </w:p>
        </w:tc>
        <w:tc>
          <w:tcPr>
            <w:tcW w:w="6240" w:type="dxa"/>
            <w:gridSpan w:val="4"/>
          </w:tcPr>
          <w:p w14:paraId="39E66EE0" w14:textId="64885894" w:rsidR="00115DA7" w:rsidRPr="00DF5836" w:rsidRDefault="00115DA7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Tốc độ truyền ban đầu</w:t>
            </w:r>
          </w:p>
        </w:tc>
      </w:tr>
      <w:tr w:rsidR="004213C1" w14:paraId="6EFB2888" w14:textId="77777777" w:rsidTr="004213C1">
        <w:tc>
          <w:tcPr>
            <w:tcW w:w="1597" w:type="dxa"/>
          </w:tcPr>
          <w:p w14:paraId="0594910E" w14:textId="77777777" w:rsidR="0082632B" w:rsidRPr="00DF5836" w:rsidRDefault="0082632B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791" w:type="dxa"/>
          </w:tcPr>
          <w:p w14:paraId="2F8D6BC7" w14:textId="77777777" w:rsidR="0082632B" w:rsidRPr="00DF5836" w:rsidRDefault="0082632B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14:paraId="5F6C72C7" w14:textId="17A32533" w:rsidR="0082632B" w:rsidRPr="00DF5836" w:rsidRDefault="00115DA7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Trẻ sinh non và trẻ sơ sinh</w:t>
            </w:r>
          </w:p>
        </w:tc>
        <w:tc>
          <w:tcPr>
            <w:tcW w:w="1560" w:type="dxa"/>
          </w:tcPr>
          <w:p w14:paraId="5E7C330E" w14:textId="75A11A70" w:rsidR="0082632B" w:rsidRPr="00DF5836" w:rsidRDefault="00115DA7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Trẻ sơ sinh và mới biết đi </w:t>
            </w:r>
            <w:r w:rsidR="009514FA"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(1-23 tháng)</w:t>
            </w:r>
          </w:p>
        </w:tc>
        <w:tc>
          <w:tcPr>
            <w:tcW w:w="1560" w:type="dxa"/>
          </w:tcPr>
          <w:p w14:paraId="5DBF761A" w14:textId="7214B523" w:rsidR="0082632B" w:rsidRPr="00DF5836" w:rsidRDefault="009514FA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Trẻ em (2-11 tuổi)</w:t>
            </w:r>
          </w:p>
        </w:tc>
        <w:tc>
          <w:tcPr>
            <w:tcW w:w="1560" w:type="dxa"/>
          </w:tcPr>
          <w:p w14:paraId="1522B15E" w14:textId="6DB751FC" w:rsidR="0082632B" w:rsidRPr="00DF5836" w:rsidRDefault="003B4BEF" w:rsidP="00DF583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DF58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Thanh thiếu niên (12 đến 16 – 18 tuổi)</w:t>
            </w:r>
          </w:p>
        </w:tc>
      </w:tr>
      <w:tr w:rsidR="004213C1" w14:paraId="3C8D1C0F" w14:textId="77777777" w:rsidTr="004213C1">
        <w:tc>
          <w:tcPr>
            <w:tcW w:w="1597" w:type="dxa"/>
          </w:tcPr>
          <w:p w14:paraId="344ECAE4" w14:textId="4572ACB5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Cung cấp năng lương trong chế độ dinh dưỡng lâm sàng</w:t>
            </w:r>
          </w:p>
        </w:tc>
        <w:tc>
          <w:tcPr>
            <w:tcW w:w="1791" w:type="dxa"/>
            <w:vMerge w:val="restart"/>
          </w:tcPr>
          <w:p w14:paraId="220B5AD0" w14:textId="1D8BD0A2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+) 0-10 kg thể trọng (BW) 100ml/kg/ngày</w:t>
            </w:r>
          </w:p>
          <w:p w14:paraId="3191869B" w14:textId="14E7D966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+) 10 – 20 kg thể trọng (BW) 1000 ml + thêm 50 ml cho mỗi kg thể trọng &gt; 10 kg/day</w:t>
            </w:r>
          </w:p>
          <w:p w14:paraId="4DCA4C71" w14:textId="1F4F2534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+) &gt; 20 kg thể trọng (BW) 1500 ml + thêm 20 ml cho mỗi kg thể trọng &gt;20 kg/day.</w:t>
            </w:r>
          </w:p>
        </w:tc>
        <w:tc>
          <w:tcPr>
            <w:tcW w:w="1560" w:type="dxa"/>
            <w:vMerge w:val="restart"/>
          </w:tcPr>
          <w:p w14:paraId="64E36D0E" w14:textId="347B23C4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6 – 11 ml/kg/giờ (10-18 mg/kg/phút)</w:t>
            </w:r>
          </w:p>
        </w:tc>
        <w:tc>
          <w:tcPr>
            <w:tcW w:w="1560" w:type="dxa"/>
            <w:vMerge w:val="restart"/>
          </w:tcPr>
          <w:p w14:paraId="03DBA268" w14:textId="285FC29C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5 – 11 ml/kg/giờ (9-18 mg/kg/phút)</w:t>
            </w:r>
          </w:p>
        </w:tc>
        <w:tc>
          <w:tcPr>
            <w:tcW w:w="1560" w:type="dxa"/>
            <w:vMerge w:val="restart"/>
          </w:tcPr>
          <w:p w14:paraId="1BF22DF9" w14:textId="1AA959FE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4-8 ml/kg/giờ (7-14 mg/kg/phút)</w:t>
            </w:r>
          </w:p>
        </w:tc>
        <w:tc>
          <w:tcPr>
            <w:tcW w:w="1560" w:type="dxa"/>
            <w:vMerge w:val="restart"/>
          </w:tcPr>
          <w:p w14:paraId="34DA7A28" w14:textId="45674CF1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4 ml/kg/giờ (7 – 8.5 mg/kg/phút)</w:t>
            </w:r>
          </w:p>
        </w:tc>
      </w:tr>
      <w:tr w:rsidR="004213C1" w14:paraId="4765F409" w14:textId="77777777" w:rsidTr="004213C1">
        <w:tc>
          <w:tcPr>
            <w:tcW w:w="1597" w:type="dxa"/>
          </w:tcPr>
          <w:p w14:paraId="0C7A48E3" w14:textId="5B587E0F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Phòng và điều trị hạ đường huyết</w:t>
            </w:r>
          </w:p>
        </w:tc>
        <w:tc>
          <w:tcPr>
            <w:tcW w:w="1791" w:type="dxa"/>
            <w:vMerge/>
          </w:tcPr>
          <w:p w14:paraId="4A4AF359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</w:tcPr>
          <w:p w14:paraId="386670BA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</w:tcPr>
          <w:p w14:paraId="4CFF6FC7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</w:tcPr>
          <w:p w14:paraId="7E7007D2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</w:tcPr>
          <w:p w14:paraId="2AE8FE06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213C1" w14:paraId="21FDD904" w14:textId="77777777" w:rsidTr="00413A78">
        <w:trPr>
          <w:trHeight w:val="1804"/>
        </w:trPr>
        <w:tc>
          <w:tcPr>
            <w:tcW w:w="1597" w:type="dxa"/>
            <w:tcBorders>
              <w:bottom w:val="single" w:sz="4" w:space="0" w:color="auto"/>
            </w:tcBorders>
          </w:tcPr>
          <w:p w14:paraId="2D4FDE87" w14:textId="6CE8EB46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Mất nước hoặc mất nước kèm theo có nhu cầu cao carbonhydrat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6C18B20A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A73110A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B615338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FC27A16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2D289D0" w14:textId="77777777" w:rsidR="004213C1" w:rsidRDefault="004213C1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B7234" w14:paraId="19ED9D63" w14:textId="77777777" w:rsidTr="00D13C11">
        <w:tc>
          <w:tcPr>
            <w:tcW w:w="1597" w:type="dxa"/>
          </w:tcPr>
          <w:p w14:paraId="70540377" w14:textId="62ED0BA9" w:rsidR="00EB7234" w:rsidRDefault="00EB7234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Dùng để pha loãng các sản phẩm thuốc tương thích.</w:t>
            </w:r>
          </w:p>
        </w:tc>
        <w:tc>
          <w:tcPr>
            <w:tcW w:w="8031" w:type="dxa"/>
            <w:gridSpan w:val="5"/>
          </w:tcPr>
          <w:p w14:paraId="70092442" w14:textId="77777777" w:rsidR="00EB7234" w:rsidRDefault="00EB7234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Liều ban đầu: 50 đến 100 ml trên liều. Không tuỳ thuộc vào lứa tuổi.</w:t>
            </w:r>
          </w:p>
          <w:p w14:paraId="4EEDF570" w14:textId="3E74AE9A" w:rsidR="00EB7234" w:rsidRDefault="00EB7234" w:rsidP="003B4BE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Tốc độ truyền: Tuỳ thuộc vào thuốc pha </w:t>
            </w:r>
            <w:r w:rsidR="00D2089E">
              <w:rPr>
                <w:rFonts w:eastAsia="Times New Roman" w:cs="Times New Roman"/>
                <w:color w:val="000000" w:themeColor="text1"/>
                <w:sz w:val="26"/>
                <w:szCs w:val="26"/>
                <w:lang w:val="en-US"/>
              </w:rPr>
              <w:t>loãng cùng. Không tuỳ thuộc vào lứa tuổi</w:t>
            </w:r>
          </w:p>
        </w:tc>
      </w:tr>
    </w:tbl>
    <w:p w14:paraId="1777013F" w14:textId="75396273" w:rsidR="002C2D32" w:rsidRDefault="00012FC8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AE67F9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Lưu ý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: </w:t>
      </w: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>Thể tích lớn nhất trong liều khuyến cáo nên dùng trong 24 giờ để tránh chứng loãng máu.</w:t>
      </w:r>
    </w:p>
    <w:p w14:paraId="750A8A84" w14:textId="0BAA79E2" w:rsidR="00012FC8" w:rsidRDefault="00012FC8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B870ED">
        <w:rPr>
          <w:rFonts w:eastAsia="Times New Roman" w:cs="Times New Roman"/>
          <w:color w:val="000000" w:themeColor="text1"/>
          <w:sz w:val="26"/>
          <w:szCs w:val="26"/>
          <w:lang w:val="en-US"/>
        </w:rPr>
        <w:t>Tốc độ truyền khuyến cáo tối đa không được vượt quá quá trình oxy hoá glucose</w:t>
      </w:r>
      <w:r w:rsidR="0006460B">
        <w:rPr>
          <w:rFonts w:eastAsia="Times New Roman" w:cs="Times New Roman"/>
          <w:color w:val="000000" w:themeColor="text1"/>
          <w:sz w:val="26"/>
          <w:szCs w:val="26"/>
          <w:lang w:val="en-US"/>
        </w:rPr>
        <w:t xml:space="preserve"> của bệnh nhân, vì điều này có thể gây tăng đường huyết.</w:t>
      </w:r>
    </w:p>
    <w:p w14:paraId="2E9F5A80" w14:textId="03D10015" w:rsidR="0006460B" w:rsidRPr="00AE67F9" w:rsidRDefault="0006460B" w:rsidP="00304850">
      <w:pPr>
        <w:shd w:val="clear" w:color="auto" w:fill="FFFFFF"/>
        <w:jc w:val="both"/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</w:pPr>
      <w:r w:rsidRPr="00AE67F9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>Cách dùng:</w:t>
      </w:r>
      <w:r w:rsidR="00066A87" w:rsidRPr="00AE67F9">
        <w:rPr>
          <w:rFonts w:eastAsia="Times New Roman" w:cs="Times New Roman"/>
          <w:i/>
          <w:iCs/>
          <w:color w:val="000000" w:themeColor="text1"/>
          <w:sz w:val="26"/>
          <w:szCs w:val="26"/>
          <w:lang w:val="en-US"/>
        </w:rPr>
        <w:t xml:space="preserve"> </w:t>
      </w:r>
    </w:p>
    <w:p w14:paraId="142AA91E" w14:textId="0A6FE000" w:rsidR="00066A87" w:rsidRDefault="00066A87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Truyền qua tĩnh mạch trung tâm hoặc ngoại vi.</w:t>
      </w:r>
    </w:p>
    <w:p w14:paraId="3B542331" w14:textId="044898AF" w:rsidR="00066A87" w:rsidRDefault="00066A87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>- Glucose 10 % truyền tĩnh mạch là dung dịch ưu trương.</w:t>
      </w:r>
    </w:p>
    <w:p w14:paraId="19BE163F" w14:textId="1632EDA2" w:rsidR="00066A87" w:rsidRDefault="00066A87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AB2999">
        <w:rPr>
          <w:rFonts w:eastAsia="Times New Roman" w:cs="Times New Roman"/>
          <w:color w:val="000000" w:themeColor="text1"/>
          <w:sz w:val="26"/>
          <w:szCs w:val="26"/>
          <w:lang w:val="en-US"/>
        </w:rPr>
        <w:t>Áp suất thẩm thấu của dung dịch truyền cuối cùng sau khi pha loãng cùng thuốc khác phải được tính toán khi dùng cho truyền tĩnh mạch ngoại vi.</w:t>
      </w:r>
    </w:p>
    <w:p w14:paraId="0F706D15" w14:textId="7A09C8A5" w:rsidR="00AE67F9" w:rsidRPr="00C31E19" w:rsidRDefault="00AB2999" w:rsidP="00304850">
      <w:pPr>
        <w:shd w:val="clear" w:color="auto" w:fill="FFFFFF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en-US"/>
        </w:rPr>
        <w:tab/>
        <w:t xml:space="preserve">- </w:t>
      </w:r>
      <w:r w:rsidR="00792407">
        <w:rPr>
          <w:rFonts w:eastAsia="Times New Roman" w:cs="Times New Roman"/>
          <w:color w:val="000000" w:themeColor="text1"/>
          <w:sz w:val="26"/>
          <w:szCs w:val="26"/>
          <w:lang w:val="en-US"/>
        </w:rPr>
        <w:t>Việc tăng dần tốc độ truyền nên được xem xét khi truyền các dung dịch chứa glucose.</w:t>
      </w:r>
    </w:p>
    <w:p w14:paraId="3D7C6C26" w14:textId="1BFCF273" w:rsidR="003A7740" w:rsidRDefault="001E491F" w:rsidP="00E6304B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>Cảnh báo và thận trọng khi dùng thuốc:</w:t>
      </w:r>
    </w:p>
    <w:p w14:paraId="2AE0B9BF" w14:textId="2AA7A1FC" w:rsidR="00734D36" w:rsidRDefault="00734D36" w:rsidP="00E6304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/>
          <w:color w:val="000000" w:themeColor="text1"/>
          <w:sz w:val="26"/>
          <w:szCs w:val="26"/>
          <w:lang w:val="en-US"/>
        </w:rPr>
        <w:tab/>
        <w:t xml:space="preserve">- </w:t>
      </w:r>
      <w:r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Phải theo dõi đều đặn </w:t>
      </w:r>
      <w:r w:rsidR="00E972A3">
        <w:rPr>
          <w:rFonts w:cs="Times New Roman"/>
          <w:bCs/>
          <w:color w:val="000000" w:themeColor="text1"/>
          <w:sz w:val="26"/>
          <w:szCs w:val="26"/>
          <w:lang w:val="en-US"/>
        </w:rPr>
        <w:t>đường huyết, cân bằng nước và các chất điện giải. Cần bổ sung các chất điện giải nếu cần</w:t>
      </w:r>
      <w:r w:rsidR="009127F5">
        <w:rPr>
          <w:rFonts w:cs="Times New Roman"/>
          <w:bCs/>
          <w:color w:val="000000" w:themeColor="text1"/>
          <w:sz w:val="26"/>
          <w:szCs w:val="26"/>
          <w:lang w:val="en-US"/>
        </w:rPr>
        <w:t>.</w:t>
      </w:r>
    </w:p>
    <w:p w14:paraId="5E4159E5" w14:textId="0FA532D9" w:rsidR="009127F5" w:rsidRDefault="009127F5" w:rsidP="00E6304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Không truyền dung dịch Glucose </w:t>
      </w:r>
      <w:r w:rsidR="00E83322">
        <w:rPr>
          <w:rFonts w:cs="Times New Roman"/>
          <w:bCs/>
          <w:color w:val="000000" w:themeColor="text1"/>
          <w:sz w:val="26"/>
          <w:szCs w:val="26"/>
          <w:lang w:val="en-US"/>
        </w:rPr>
        <w:t>cùng với máu qua một bộ dây truyền vì có thể gây tan huyết</w:t>
      </w:r>
      <w:r w:rsidR="004E60BC">
        <w:rPr>
          <w:rFonts w:cs="Times New Roman"/>
          <w:bCs/>
          <w:color w:val="000000" w:themeColor="text1"/>
          <w:sz w:val="26"/>
          <w:szCs w:val="26"/>
          <w:lang w:val="en-US"/>
        </w:rPr>
        <w:t xml:space="preserve"> và tắc nghẽn.</w:t>
      </w:r>
    </w:p>
    <w:p w14:paraId="18BEF162" w14:textId="534D2EF0" w:rsidR="002C3B41" w:rsidRDefault="002C3B41" w:rsidP="00E6304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Cs/>
          <w:color w:val="000000" w:themeColor="text1"/>
          <w:sz w:val="26"/>
          <w:szCs w:val="26"/>
          <w:lang w:val="en-US"/>
        </w:rPr>
        <w:lastRenderedPageBreak/>
        <w:tab/>
        <w:t xml:space="preserve">- Truyền glucose vào tĩnh mạch có thể dẫn đến rối loạn dịch và điện giải </w:t>
      </w:r>
      <w:r w:rsidR="00E83944">
        <w:rPr>
          <w:rFonts w:cs="Times New Roman"/>
          <w:bCs/>
          <w:color w:val="000000" w:themeColor="text1"/>
          <w:sz w:val="26"/>
          <w:szCs w:val="26"/>
          <w:lang w:val="en-US"/>
        </w:rPr>
        <w:t>như hạ kali huyết, hạ magnesi huyết, hạ phospho huyết.</w:t>
      </w:r>
    </w:p>
    <w:p w14:paraId="71C04DCC" w14:textId="55F1AA7A" w:rsidR="00E83944" w:rsidRPr="00734D36" w:rsidRDefault="00E83944" w:rsidP="00E6304B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Truyền kéo dài hoặc nhanh một lượng lớn dung dịch </w:t>
      </w:r>
      <w:r w:rsidR="00B05838">
        <w:rPr>
          <w:rFonts w:cs="Times New Roman"/>
          <w:bCs/>
          <w:color w:val="000000" w:themeColor="text1"/>
          <w:sz w:val="26"/>
          <w:szCs w:val="26"/>
          <w:lang w:val="en-US"/>
        </w:rPr>
        <w:t>Glucose ưu trương có thể gây mất nước tế bào do tăng đường huyết.</w:t>
      </w:r>
    </w:p>
    <w:p w14:paraId="70B86369" w14:textId="45001A57" w:rsidR="00E23CC5" w:rsidRDefault="00E23CC5" w:rsidP="00BA4E03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>Sử dụng cho phụ nữ có thai và cho con bú:</w:t>
      </w:r>
    </w:p>
    <w:p w14:paraId="1154D2FB" w14:textId="15EB34E8" w:rsidR="00FF60F1" w:rsidRPr="00FF60F1" w:rsidRDefault="00893103" w:rsidP="00BA4E03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/>
          <w:color w:val="000000" w:themeColor="text1"/>
          <w:sz w:val="26"/>
          <w:szCs w:val="26"/>
          <w:lang w:val="en-US"/>
        </w:rPr>
        <w:tab/>
        <w:t xml:space="preserve">- </w:t>
      </w:r>
      <w:r w:rsidR="00FF60F1">
        <w:rPr>
          <w:rFonts w:cs="Times New Roman"/>
          <w:bCs/>
          <w:color w:val="000000" w:themeColor="text1"/>
          <w:sz w:val="26"/>
          <w:szCs w:val="26"/>
          <w:lang w:val="en-US"/>
        </w:rPr>
        <w:t>Dùng được cho người mang thai và an toàn đối với người cho con bú.</w:t>
      </w:r>
    </w:p>
    <w:p w14:paraId="38210590" w14:textId="2F4818B8" w:rsidR="009859B8" w:rsidRDefault="009859B8" w:rsidP="00BA4E03">
      <w:pPr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>Tương tác</w:t>
      </w:r>
      <w:r w:rsidR="00FF60F1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>thuốc:</w:t>
      </w:r>
    </w:p>
    <w:p w14:paraId="54CB9221" w14:textId="3EFB5E3C" w:rsidR="00CA416A" w:rsidRDefault="00CA416A" w:rsidP="00BA4E03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/>
          <w:color w:val="000000" w:themeColor="text1"/>
          <w:sz w:val="26"/>
          <w:szCs w:val="26"/>
          <w:lang w:val="en-US"/>
        </w:rPr>
        <w:tab/>
        <w:t xml:space="preserve">- </w:t>
      </w:r>
      <w:r>
        <w:rPr>
          <w:rFonts w:cs="Times New Roman"/>
          <w:bCs/>
          <w:color w:val="000000" w:themeColor="text1"/>
          <w:sz w:val="26"/>
          <w:szCs w:val="26"/>
          <w:lang w:val="en-US"/>
        </w:rPr>
        <w:t>Cần tính toán đến ảnh hưởng của của dung dịch glucose lên đường huyết và cân bằng nước</w:t>
      </w:r>
      <w:r w:rsidR="002A6812">
        <w:rPr>
          <w:rFonts w:cs="Times New Roman"/>
          <w:bCs/>
          <w:color w:val="000000" w:themeColor="text1"/>
          <w:sz w:val="26"/>
          <w:szCs w:val="26"/>
          <w:lang w:val="en-US"/>
        </w:rPr>
        <w:t>, điện giải khi sử dụng cho những bệnh nhân đang điều trị các thuốc khác mà có tác dụng kiểm soát đường huyết, cân bằng dịch, điện giải.</w:t>
      </w:r>
    </w:p>
    <w:p w14:paraId="58261A61" w14:textId="3CF0FEBD" w:rsidR="002A6812" w:rsidRPr="00CA416A" w:rsidRDefault="002A6812" w:rsidP="00BA4E03">
      <w:pPr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Dùng đồng thời </w:t>
      </w:r>
      <w:r w:rsidR="008968F3">
        <w:rPr>
          <w:rFonts w:cs="Times New Roman"/>
          <w:bCs/>
          <w:color w:val="000000" w:themeColor="text1"/>
          <w:sz w:val="26"/>
          <w:szCs w:val="26"/>
          <w:lang w:val="en-US"/>
        </w:rPr>
        <w:t>thuốc catecholamine và steroid làm giảm sự hấp thu glucose</w:t>
      </w:r>
    </w:p>
    <w:p w14:paraId="45E07C88" w14:textId="2861D7E8" w:rsidR="008C42E9" w:rsidRDefault="008C42E9" w:rsidP="0034404E">
      <w:pPr>
        <w:jc w:val="both"/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5818F1">
        <w:rPr>
          <w:rFonts w:cs="Times New Roman"/>
          <w:b/>
          <w:color w:val="000000" w:themeColor="text1"/>
          <w:sz w:val="26"/>
          <w:szCs w:val="26"/>
        </w:rPr>
        <w:t>Tác dụng không mong muốn (ADR)</w:t>
      </w:r>
      <w:r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>:</w:t>
      </w:r>
    </w:p>
    <w:p w14:paraId="780931D8" w14:textId="4D12488F" w:rsidR="00810850" w:rsidRDefault="00810850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/>
          <w:color w:val="000000" w:themeColor="text1"/>
          <w:sz w:val="26"/>
          <w:szCs w:val="26"/>
          <w:lang w:val="en-US"/>
        </w:rPr>
        <w:tab/>
        <w:t xml:space="preserve">- </w:t>
      </w:r>
      <w:r w:rsidR="00B03E2E">
        <w:rPr>
          <w:rFonts w:cs="Times New Roman"/>
          <w:bCs/>
          <w:color w:val="000000" w:themeColor="text1"/>
          <w:sz w:val="26"/>
          <w:szCs w:val="26"/>
          <w:lang w:val="en-US"/>
        </w:rPr>
        <w:t>Sử dụng glucose 10 % có thể dẫn tới: tăng đường huyết, rối loạn cân bằng dịch (tăng thể tích tuần hoàn</w:t>
      </w:r>
      <w:r w:rsidR="004D0357">
        <w:rPr>
          <w:rFonts w:cs="Times New Roman"/>
          <w:bCs/>
          <w:color w:val="000000" w:themeColor="text1"/>
          <w:sz w:val="26"/>
          <w:szCs w:val="26"/>
          <w:lang w:val="en-US"/>
        </w:rPr>
        <w:t>), rối loạn điện giải (hạ kali máu, hạ magnesi máu và hạ phosphat máu).</w:t>
      </w:r>
    </w:p>
    <w:p w14:paraId="4A96C86E" w14:textId="612058FE" w:rsidR="004D0357" w:rsidRPr="00B03E2E" w:rsidRDefault="004D0357" w:rsidP="0034404E">
      <w:pPr>
        <w:jc w:val="both"/>
        <w:rPr>
          <w:rFonts w:cs="Times New Roman"/>
          <w:bCs/>
          <w:color w:val="000000" w:themeColor="text1"/>
          <w:sz w:val="26"/>
          <w:szCs w:val="26"/>
          <w:lang w:val="en-US"/>
        </w:rPr>
      </w:pPr>
      <w:r>
        <w:rPr>
          <w:rFonts w:cs="Times New Roman"/>
          <w:bCs/>
          <w:color w:val="000000" w:themeColor="text1"/>
          <w:sz w:val="26"/>
          <w:szCs w:val="26"/>
          <w:lang w:val="en-US"/>
        </w:rPr>
        <w:tab/>
        <w:t xml:space="preserve">- Ngoài ra còn một số tác dụng </w:t>
      </w:r>
      <w:r w:rsidR="00176D39">
        <w:rPr>
          <w:rFonts w:cs="Times New Roman"/>
          <w:bCs/>
          <w:color w:val="000000" w:themeColor="text1"/>
          <w:sz w:val="26"/>
          <w:szCs w:val="26"/>
          <w:lang w:val="en-US"/>
        </w:rPr>
        <w:t>không mong muốn khác đã được báo cáo khi sử dụng dung dịch tiêm truyền glucose: hạ natri máu, có thể la triệu chứng; Suy gan, xơ gan, xơ hoá gan</w:t>
      </w:r>
      <w:r w:rsidR="0066610C">
        <w:rPr>
          <w:rFonts w:cs="Times New Roman"/>
          <w:bCs/>
          <w:color w:val="000000" w:themeColor="text1"/>
          <w:sz w:val="26"/>
          <w:szCs w:val="26"/>
          <w:lang w:val="en-US"/>
        </w:rPr>
        <w:t>, ứ mật, gan nhiễm mỡ, tăng biliru</w:t>
      </w:r>
      <w:r w:rsidR="002E58DC">
        <w:rPr>
          <w:rFonts w:cs="Times New Roman"/>
          <w:bCs/>
          <w:color w:val="000000" w:themeColor="text1"/>
          <w:sz w:val="26"/>
          <w:szCs w:val="26"/>
          <w:lang w:val="en-US"/>
        </w:rPr>
        <w:t>bin huyết, tăng men gan, sỏi mật, viêm túi mật.</w:t>
      </w:r>
    </w:p>
    <w:p w14:paraId="5650360E" w14:textId="3511DCAD" w:rsidR="001E7C7F" w:rsidRPr="005818F1" w:rsidRDefault="001E7C7F" w:rsidP="005C378A">
      <w:pPr>
        <w:spacing w:before="240" w:line="360" w:lineRule="auto"/>
        <w:rPr>
          <w:rFonts w:cs="Times New Roman"/>
          <w:color w:val="000000" w:themeColor="text1"/>
          <w:sz w:val="26"/>
          <w:szCs w:val="26"/>
          <w:lang w:val="en-US"/>
        </w:rPr>
      </w:pPr>
      <w:r w:rsidRPr="005818F1">
        <w:rPr>
          <w:rFonts w:cs="Times New Roman"/>
          <w:b/>
          <w:color w:val="000000" w:themeColor="text1"/>
          <w:sz w:val="26"/>
          <w:szCs w:val="26"/>
          <w:u w:val="single"/>
          <w:lang w:val="en-US"/>
        </w:rPr>
        <w:t>Đơn giá:</w:t>
      </w:r>
      <w:r w:rsidRPr="005818F1">
        <w:rPr>
          <w:rFonts w:cs="Times New Roman"/>
          <w:color w:val="000000" w:themeColor="text1"/>
          <w:sz w:val="26"/>
          <w:szCs w:val="26"/>
          <w:lang w:val="en-US"/>
        </w:rPr>
        <w:t xml:space="preserve"> </w:t>
      </w:r>
      <w:r w:rsidR="001E33FC">
        <w:rPr>
          <w:rFonts w:cs="Times New Roman"/>
          <w:b/>
          <w:color w:val="000000" w:themeColor="text1"/>
          <w:sz w:val="26"/>
          <w:szCs w:val="26"/>
          <w:lang w:val="en-US"/>
        </w:rPr>
        <w:t>9.899</w:t>
      </w:r>
      <w:r w:rsidR="00D0014E"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5818F1">
        <w:rPr>
          <w:rFonts w:cs="Times New Roman"/>
          <w:color w:val="000000" w:themeColor="text1"/>
          <w:sz w:val="26"/>
          <w:szCs w:val="26"/>
          <w:lang w:val="en-US"/>
        </w:rPr>
        <w:t>đồ</w:t>
      </w:r>
      <w:r w:rsidR="00E873A8" w:rsidRPr="005818F1">
        <w:rPr>
          <w:rFonts w:cs="Times New Roman"/>
          <w:color w:val="000000" w:themeColor="text1"/>
          <w:sz w:val="26"/>
          <w:szCs w:val="26"/>
          <w:lang w:val="en-US"/>
        </w:rPr>
        <w:t>ng/ chai</w:t>
      </w:r>
      <w:r w:rsidRPr="005818F1">
        <w:rPr>
          <w:rFonts w:cs="Times New Roman"/>
          <w:color w:val="000000" w:themeColor="text1"/>
          <w:sz w:val="26"/>
          <w:szCs w:val="26"/>
          <w:lang w:val="en-US"/>
        </w:rPr>
        <w:t>.</w:t>
      </w:r>
    </w:p>
    <w:p w14:paraId="5E369A24" w14:textId="0056DBDD" w:rsidR="001E7C7F" w:rsidRPr="005818F1" w:rsidRDefault="00F9455F" w:rsidP="001E7C7F">
      <w:pPr>
        <w:jc w:val="center"/>
        <w:rPr>
          <w:rFonts w:cs="Times New Roman"/>
          <w:b/>
          <w:color w:val="000000" w:themeColor="text1"/>
          <w:sz w:val="26"/>
          <w:szCs w:val="26"/>
          <w:lang w:val="en-US"/>
        </w:rPr>
      </w:pPr>
      <w:r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                   </w:t>
      </w:r>
      <w:r w:rsidR="001E7C7F"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>DS</w:t>
      </w:r>
      <w:r w:rsidR="00AF1ACD"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 . Nguyễn Thị</w:t>
      </w:r>
      <w:r w:rsidR="00AF1ACD" w:rsidRPr="005818F1">
        <w:rPr>
          <w:rFonts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F1ACD" w:rsidRPr="005818F1">
        <w:rPr>
          <w:rFonts w:cs="Times New Roman"/>
          <w:b/>
          <w:color w:val="000000" w:themeColor="text1"/>
          <w:sz w:val="26"/>
          <w:szCs w:val="26"/>
          <w:lang w:val="en-US"/>
        </w:rPr>
        <w:t xml:space="preserve">Hường </w:t>
      </w:r>
    </w:p>
    <w:sectPr w:rsidR="001E7C7F" w:rsidRPr="005818F1" w:rsidSect="00E54CF1">
      <w:pgSz w:w="11906" w:h="16838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C47"/>
    <w:multiLevelType w:val="multilevel"/>
    <w:tmpl w:val="49B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E2C28"/>
    <w:multiLevelType w:val="multilevel"/>
    <w:tmpl w:val="870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B55E6"/>
    <w:multiLevelType w:val="multilevel"/>
    <w:tmpl w:val="3308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20A62"/>
    <w:multiLevelType w:val="hybridMultilevel"/>
    <w:tmpl w:val="3FA621FC"/>
    <w:lvl w:ilvl="0" w:tplc="DA5EF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7154"/>
    <w:multiLevelType w:val="hybridMultilevel"/>
    <w:tmpl w:val="F4A8577A"/>
    <w:lvl w:ilvl="0" w:tplc="F920FD1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D1F304E"/>
    <w:multiLevelType w:val="multilevel"/>
    <w:tmpl w:val="A7E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101B6"/>
    <w:multiLevelType w:val="multilevel"/>
    <w:tmpl w:val="912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12003"/>
    <w:multiLevelType w:val="multilevel"/>
    <w:tmpl w:val="79F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56DDA"/>
    <w:multiLevelType w:val="multilevel"/>
    <w:tmpl w:val="44F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F1591"/>
    <w:multiLevelType w:val="hybridMultilevel"/>
    <w:tmpl w:val="EC1A4EBE"/>
    <w:lvl w:ilvl="0" w:tplc="25800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1942"/>
    <w:multiLevelType w:val="multilevel"/>
    <w:tmpl w:val="3A2E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7B3F9C"/>
    <w:multiLevelType w:val="multilevel"/>
    <w:tmpl w:val="FAD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C7639"/>
    <w:multiLevelType w:val="multilevel"/>
    <w:tmpl w:val="75C8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8413A"/>
    <w:multiLevelType w:val="hybridMultilevel"/>
    <w:tmpl w:val="80361C76"/>
    <w:lvl w:ilvl="0" w:tplc="424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83FBD"/>
    <w:multiLevelType w:val="multilevel"/>
    <w:tmpl w:val="DFC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527CA6"/>
    <w:multiLevelType w:val="multilevel"/>
    <w:tmpl w:val="6440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8330C8"/>
    <w:multiLevelType w:val="multilevel"/>
    <w:tmpl w:val="2758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B0DE6"/>
    <w:multiLevelType w:val="multilevel"/>
    <w:tmpl w:val="DC2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17178"/>
    <w:multiLevelType w:val="multilevel"/>
    <w:tmpl w:val="AE403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60858507">
    <w:abstractNumId w:val="13"/>
  </w:num>
  <w:num w:numId="2" w16cid:durableId="968437410">
    <w:abstractNumId w:val="15"/>
  </w:num>
  <w:num w:numId="3" w16cid:durableId="1972317633">
    <w:abstractNumId w:val="14"/>
  </w:num>
  <w:num w:numId="4" w16cid:durableId="1789544491">
    <w:abstractNumId w:val="12"/>
  </w:num>
  <w:num w:numId="5" w16cid:durableId="1770269797">
    <w:abstractNumId w:val="10"/>
  </w:num>
  <w:num w:numId="6" w16cid:durableId="1436822492">
    <w:abstractNumId w:val="3"/>
  </w:num>
  <w:num w:numId="7" w16cid:durableId="1027562300">
    <w:abstractNumId w:val="0"/>
  </w:num>
  <w:num w:numId="8" w16cid:durableId="612177671">
    <w:abstractNumId w:val="9"/>
  </w:num>
  <w:num w:numId="9" w16cid:durableId="53159841">
    <w:abstractNumId w:val="4"/>
  </w:num>
  <w:num w:numId="10" w16cid:durableId="2040277878">
    <w:abstractNumId w:val="6"/>
  </w:num>
  <w:num w:numId="11" w16cid:durableId="1816214578">
    <w:abstractNumId w:val="11"/>
  </w:num>
  <w:num w:numId="12" w16cid:durableId="243688407">
    <w:abstractNumId w:val="16"/>
  </w:num>
  <w:num w:numId="13" w16cid:durableId="2104833559">
    <w:abstractNumId w:val="8"/>
  </w:num>
  <w:num w:numId="14" w16cid:durableId="1128930631">
    <w:abstractNumId w:val="1"/>
  </w:num>
  <w:num w:numId="15" w16cid:durableId="1824469907">
    <w:abstractNumId w:val="7"/>
  </w:num>
  <w:num w:numId="16" w16cid:durableId="1425496947">
    <w:abstractNumId w:val="5"/>
  </w:num>
  <w:num w:numId="17" w16cid:durableId="655840925">
    <w:abstractNumId w:val="18"/>
  </w:num>
  <w:num w:numId="18" w16cid:durableId="301161827">
    <w:abstractNumId w:val="17"/>
  </w:num>
  <w:num w:numId="19" w16cid:durableId="1839075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C"/>
    <w:rsid w:val="0000216C"/>
    <w:rsid w:val="00005E03"/>
    <w:rsid w:val="00012FC8"/>
    <w:rsid w:val="000314CC"/>
    <w:rsid w:val="00031E4F"/>
    <w:rsid w:val="00033FDC"/>
    <w:rsid w:val="00047EE6"/>
    <w:rsid w:val="00053057"/>
    <w:rsid w:val="0006460B"/>
    <w:rsid w:val="00066A87"/>
    <w:rsid w:val="00067E94"/>
    <w:rsid w:val="00074253"/>
    <w:rsid w:val="000843FA"/>
    <w:rsid w:val="000B7967"/>
    <w:rsid w:val="000C4EF2"/>
    <w:rsid w:val="000D3129"/>
    <w:rsid w:val="000D7186"/>
    <w:rsid w:val="000E34D8"/>
    <w:rsid w:val="000F0755"/>
    <w:rsid w:val="000F2EE7"/>
    <w:rsid w:val="00100D14"/>
    <w:rsid w:val="00115DA7"/>
    <w:rsid w:val="00123518"/>
    <w:rsid w:val="00140DCA"/>
    <w:rsid w:val="001412C6"/>
    <w:rsid w:val="00142464"/>
    <w:rsid w:val="0014709B"/>
    <w:rsid w:val="00150581"/>
    <w:rsid w:val="001555B4"/>
    <w:rsid w:val="00156C3C"/>
    <w:rsid w:val="00164A9B"/>
    <w:rsid w:val="001707FD"/>
    <w:rsid w:val="00171F3D"/>
    <w:rsid w:val="001723D3"/>
    <w:rsid w:val="0017483A"/>
    <w:rsid w:val="00176D39"/>
    <w:rsid w:val="001B0113"/>
    <w:rsid w:val="001D3905"/>
    <w:rsid w:val="001D5D4C"/>
    <w:rsid w:val="001E02BE"/>
    <w:rsid w:val="001E26A9"/>
    <w:rsid w:val="001E33FC"/>
    <w:rsid w:val="001E491F"/>
    <w:rsid w:val="001E7C7F"/>
    <w:rsid w:val="001F3F52"/>
    <w:rsid w:val="001F57AD"/>
    <w:rsid w:val="001F630B"/>
    <w:rsid w:val="00213121"/>
    <w:rsid w:val="00223A52"/>
    <w:rsid w:val="0023499C"/>
    <w:rsid w:val="002428FE"/>
    <w:rsid w:val="002524C1"/>
    <w:rsid w:val="0025688B"/>
    <w:rsid w:val="00260A5D"/>
    <w:rsid w:val="00262935"/>
    <w:rsid w:val="00262CA2"/>
    <w:rsid w:val="00267196"/>
    <w:rsid w:val="00267E71"/>
    <w:rsid w:val="00277B6E"/>
    <w:rsid w:val="002A6812"/>
    <w:rsid w:val="002B0C9F"/>
    <w:rsid w:val="002C2D32"/>
    <w:rsid w:val="002C3B41"/>
    <w:rsid w:val="002C70B2"/>
    <w:rsid w:val="002D31D6"/>
    <w:rsid w:val="002D5D3A"/>
    <w:rsid w:val="002D7610"/>
    <w:rsid w:val="002E58DC"/>
    <w:rsid w:val="002F796C"/>
    <w:rsid w:val="00304850"/>
    <w:rsid w:val="00307D7F"/>
    <w:rsid w:val="00310DD2"/>
    <w:rsid w:val="003161C3"/>
    <w:rsid w:val="003260E7"/>
    <w:rsid w:val="0033033B"/>
    <w:rsid w:val="00336374"/>
    <w:rsid w:val="0034404E"/>
    <w:rsid w:val="00352022"/>
    <w:rsid w:val="003554D3"/>
    <w:rsid w:val="00357B22"/>
    <w:rsid w:val="00360EA0"/>
    <w:rsid w:val="00363F78"/>
    <w:rsid w:val="00366843"/>
    <w:rsid w:val="00371313"/>
    <w:rsid w:val="0038142E"/>
    <w:rsid w:val="003837BE"/>
    <w:rsid w:val="00383E0D"/>
    <w:rsid w:val="0039202D"/>
    <w:rsid w:val="0039352C"/>
    <w:rsid w:val="003A0B9A"/>
    <w:rsid w:val="003A5A96"/>
    <w:rsid w:val="003A7740"/>
    <w:rsid w:val="003A7B86"/>
    <w:rsid w:val="003B4BEF"/>
    <w:rsid w:val="003B6FCD"/>
    <w:rsid w:val="003C2E69"/>
    <w:rsid w:val="003C4532"/>
    <w:rsid w:val="003D5EE3"/>
    <w:rsid w:val="003E20FF"/>
    <w:rsid w:val="003E53C2"/>
    <w:rsid w:val="0040252A"/>
    <w:rsid w:val="00404563"/>
    <w:rsid w:val="00406EFE"/>
    <w:rsid w:val="004213C1"/>
    <w:rsid w:val="00434F3B"/>
    <w:rsid w:val="004410B5"/>
    <w:rsid w:val="00443CC0"/>
    <w:rsid w:val="00444BD1"/>
    <w:rsid w:val="00456E84"/>
    <w:rsid w:val="00460316"/>
    <w:rsid w:val="00467565"/>
    <w:rsid w:val="00471CC0"/>
    <w:rsid w:val="00476079"/>
    <w:rsid w:val="00482886"/>
    <w:rsid w:val="004A6604"/>
    <w:rsid w:val="004A7162"/>
    <w:rsid w:val="004B4CD7"/>
    <w:rsid w:val="004B610B"/>
    <w:rsid w:val="004C29B9"/>
    <w:rsid w:val="004D0357"/>
    <w:rsid w:val="004E5715"/>
    <w:rsid w:val="004E60BC"/>
    <w:rsid w:val="004F7759"/>
    <w:rsid w:val="0054489C"/>
    <w:rsid w:val="00545FCF"/>
    <w:rsid w:val="005534FD"/>
    <w:rsid w:val="005541B5"/>
    <w:rsid w:val="005645DC"/>
    <w:rsid w:val="0056508C"/>
    <w:rsid w:val="00565232"/>
    <w:rsid w:val="00571158"/>
    <w:rsid w:val="0057453A"/>
    <w:rsid w:val="00577590"/>
    <w:rsid w:val="00580943"/>
    <w:rsid w:val="005818F1"/>
    <w:rsid w:val="00590D84"/>
    <w:rsid w:val="00592251"/>
    <w:rsid w:val="005A732C"/>
    <w:rsid w:val="005B7F3D"/>
    <w:rsid w:val="005C2814"/>
    <w:rsid w:val="005C30AC"/>
    <w:rsid w:val="005C378A"/>
    <w:rsid w:val="005C4072"/>
    <w:rsid w:val="005E00D7"/>
    <w:rsid w:val="005F1DF0"/>
    <w:rsid w:val="005F4843"/>
    <w:rsid w:val="00602E60"/>
    <w:rsid w:val="006104C9"/>
    <w:rsid w:val="006167E0"/>
    <w:rsid w:val="006317E9"/>
    <w:rsid w:val="00641424"/>
    <w:rsid w:val="00664046"/>
    <w:rsid w:val="0066610C"/>
    <w:rsid w:val="00673A29"/>
    <w:rsid w:val="006769E2"/>
    <w:rsid w:val="006806BC"/>
    <w:rsid w:val="00696E2F"/>
    <w:rsid w:val="006A1755"/>
    <w:rsid w:val="006A7930"/>
    <w:rsid w:val="006C772A"/>
    <w:rsid w:val="006D30A0"/>
    <w:rsid w:val="006D4356"/>
    <w:rsid w:val="006E19CA"/>
    <w:rsid w:val="006E4A1E"/>
    <w:rsid w:val="006F00C9"/>
    <w:rsid w:val="00714BDE"/>
    <w:rsid w:val="00717CAE"/>
    <w:rsid w:val="00734D36"/>
    <w:rsid w:val="00747039"/>
    <w:rsid w:val="00756C90"/>
    <w:rsid w:val="00757942"/>
    <w:rsid w:val="007633B6"/>
    <w:rsid w:val="00765329"/>
    <w:rsid w:val="00766FBA"/>
    <w:rsid w:val="00792407"/>
    <w:rsid w:val="007A2874"/>
    <w:rsid w:val="007A360E"/>
    <w:rsid w:val="007B0CA0"/>
    <w:rsid w:val="007B4730"/>
    <w:rsid w:val="007C0277"/>
    <w:rsid w:val="007E0D63"/>
    <w:rsid w:val="007F48F6"/>
    <w:rsid w:val="00810850"/>
    <w:rsid w:val="00814854"/>
    <w:rsid w:val="00817D6A"/>
    <w:rsid w:val="00824110"/>
    <w:rsid w:val="00824BEB"/>
    <w:rsid w:val="0082632B"/>
    <w:rsid w:val="008264CD"/>
    <w:rsid w:val="008271A4"/>
    <w:rsid w:val="0083090E"/>
    <w:rsid w:val="0083391B"/>
    <w:rsid w:val="008343B7"/>
    <w:rsid w:val="008373D0"/>
    <w:rsid w:val="00846E60"/>
    <w:rsid w:val="00847B94"/>
    <w:rsid w:val="00861D6C"/>
    <w:rsid w:val="008651B2"/>
    <w:rsid w:val="008763A7"/>
    <w:rsid w:val="0088138E"/>
    <w:rsid w:val="00881633"/>
    <w:rsid w:val="00883EB9"/>
    <w:rsid w:val="00893103"/>
    <w:rsid w:val="008968F3"/>
    <w:rsid w:val="008A2B6B"/>
    <w:rsid w:val="008A585A"/>
    <w:rsid w:val="008B21CA"/>
    <w:rsid w:val="008B3F94"/>
    <w:rsid w:val="008B7671"/>
    <w:rsid w:val="008C42E9"/>
    <w:rsid w:val="008C6A7A"/>
    <w:rsid w:val="008E452E"/>
    <w:rsid w:val="009101DA"/>
    <w:rsid w:val="009127F5"/>
    <w:rsid w:val="00924DA6"/>
    <w:rsid w:val="00933181"/>
    <w:rsid w:val="009331C7"/>
    <w:rsid w:val="00933CF5"/>
    <w:rsid w:val="009514FA"/>
    <w:rsid w:val="00951934"/>
    <w:rsid w:val="009647CD"/>
    <w:rsid w:val="009859B8"/>
    <w:rsid w:val="00994F56"/>
    <w:rsid w:val="009A19B4"/>
    <w:rsid w:val="009C492C"/>
    <w:rsid w:val="009D1648"/>
    <w:rsid w:val="009D3C37"/>
    <w:rsid w:val="009D6222"/>
    <w:rsid w:val="009E7DF4"/>
    <w:rsid w:val="00A049B0"/>
    <w:rsid w:val="00A05D59"/>
    <w:rsid w:val="00A21A1F"/>
    <w:rsid w:val="00A30D01"/>
    <w:rsid w:val="00A44E2A"/>
    <w:rsid w:val="00A46432"/>
    <w:rsid w:val="00A47BF1"/>
    <w:rsid w:val="00A53406"/>
    <w:rsid w:val="00A6452B"/>
    <w:rsid w:val="00A7409D"/>
    <w:rsid w:val="00A843B2"/>
    <w:rsid w:val="00A86C34"/>
    <w:rsid w:val="00A9346E"/>
    <w:rsid w:val="00A9695D"/>
    <w:rsid w:val="00AB2999"/>
    <w:rsid w:val="00AB3590"/>
    <w:rsid w:val="00AB6E82"/>
    <w:rsid w:val="00AC3249"/>
    <w:rsid w:val="00AC4DBC"/>
    <w:rsid w:val="00AD0B7F"/>
    <w:rsid w:val="00AD3048"/>
    <w:rsid w:val="00AE5AA5"/>
    <w:rsid w:val="00AE67F9"/>
    <w:rsid w:val="00AF1ACD"/>
    <w:rsid w:val="00B02F50"/>
    <w:rsid w:val="00B03E2E"/>
    <w:rsid w:val="00B05838"/>
    <w:rsid w:val="00B06AD7"/>
    <w:rsid w:val="00B11C6C"/>
    <w:rsid w:val="00B221CC"/>
    <w:rsid w:val="00B270C5"/>
    <w:rsid w:val="00B34FFF"/>
    <w:rsid w:val="00B37C42"/>
    <w:rsid w:val="00B602FD"/>
    <w:rsid w:val="00B616A5"/>
    <w:rsid w:val="00B6185F"/>
    <w:rsid w:val="00B656C4"/>
    <w:rsid w:val="00B66166"/>
    <w:rsid w:val="00B85DEE"/>
    <w:rsid w:val="00B870ED"/>
    <w:rsid w:val="00B913DD"/>
    <w:rsid w:val="00B9184B"/>
    <w:rsid w:val="00BA4E03"/>
    <w:rsid w:val="00BA627A"/>
    <w:rsid w:val="00BB6195"/>
    <w:rsid w:val="00BC5629"/>
    <w:rsid w:val="00BD4585"/>
    <w:rsid w:val="00BD5838"/>
    <w:rsid w:val="00BE403D"/>
    <w:rsid w:val="00BF02BD"/>
    <w:rsid w:val="00BF4800"/>
    <w:rsid w:val="00C013E3"/>
    <w:rsid w:val="00C1280E"/>
    <w:rsid w:val="00C30228"/>
    <w:rsid w:val="00C31E19"/>
    <w:rsid w:val="00C3602E"/>
    <w:rsid w:val="00C4140F"/>
    <w:rsid w:val="00C46B5B"/>
    <w:rsid w:val="00C516A9"/>
    <w:rsid w:val="00C66423"/>
    <w:rsid w:val="00C67B1F"/>
    <w:rsid w:val="00C70962"/>
    <w:rsid w:val="00C83DBB"/>
    <w:rsid w:val="00C856B8"/>
    <w:rsid w:val="00C935FC"/>
    <w:rsid w:val="00CA416A"/>
    <w:rsid w:val="00CA7349"/>
    <w:rsid w:val="00CB0AD0"/>
    <w:rsid w:val="00CD3593"/>
    <w:rsid w:val="00CD4423"/>
    <w:rsid w:val="00CF1E6A"/>
    <w:rsid w:val="00D0014E"/>
    <w:rsid w:val="00D01F22"/>
    <w:rsid w:val="00D12C3F"/>
    <w:rsid w:val="00D137A1"/>
    <w:rsid w:val="00D1534C"/>
    <w:rsid w:val="00D174E1"/>
    <w:rsid w:val="00D2089E"/>
    <w:rsid w:val="00D27629"/>
    <w:rsid w:val="00D35DB7"/>
    <w:rsid w:val="00D6197F"/>
    <w:rsid w:val="00D65B07"/>
    <w:rsid w:val="00D7218C"/>
    <w:rsid w:val="00D75DCA"/>
    <w:rsid w:val="00D96CD3"/>
    <w:rsid w:val="00DB2D6C"/>
    <w:rsid w:val="00DD4B64"/>
    <w:rsid w:val="00DD6083"/>
    <w:rsid w:val="00DF406F"/>
    <w:rsid w:val="00DF5836"/>
    <w:rsid w:val="00E01912"/>
    <w:rsid w:val="00E0746B"/>
    <w:rsid w:val="00E23CC5"/>
    <w:rsid w:val="00E23E53"/>
    <w:rsid w:val="00E47928"/>
    <w:rsid w:val="00E54CF1"/>
    <w:rsid w:val="00E60E08"/>
    <w:rsid w:val="00E623A4"/>
    <w:rsid w:val="00E6304B"/>
    <w:rsid w:val="00E67490"/>
    <w:rsid w:val="00E82495"/>
    <w:rsid w:val="00E83322"/>
    <w:rsid w:val="00E83944"/>
    <w:rsid w:val="00E873A8"/>
    <w:rsid w:val="00E91E98"/>
    <w:rsid w:val="00E93D7C"/>
    <w:rsid w:val="00E972A3"/>
    <w:rsid w:val="00EB7234"/>
    <w:rsid w:val="00EC5931"/>
    <w:rsid w:val="00EE5590"/>
    <w:rsid w:val="00EE6BC5"/>
    <w:rsid w:val="00EE74C3"/>
    <w:rsid w:val="00F06E9D"/>
    <w:rsid w:val="00F12514"/>
    <w:rsid w:val="00F1766A"/>
    <w:rsid w:val="00F23F81"/>
    <w:rsid w:val="00F3267D"/>
    <w:rsid w:val="00F537DD"/>
    <w:rsid w:val="00F635D4"/>
    <w:rsid w:val="00F65088"/>
    <w:rsid w:val="00F7036A"/>
    <w:rsid w:val="00F71EB7"/>
    <w:rsid w:val="00F730B9"/>
    <w:rsid w:val="00F73E2C"/>
    <w:rsid w:val="00F75C98"/>
    <w:rsid w:val="00F8142B"/>
    <w:rsid w:val="00F9455F"/>
    <w:rsid w:val="00FA0CC9"/>
    <w:rsid w:val="00FB010C"/>
    <w:rsid w:val="00FB0889"/>
    <w:rsid w:val="00FC5281"/>
    <w:rsid w:val="00FD1499"/>
    <w:rsid w:val="00FF60F1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77592"/>
  <w15:docId w15:val="{9CDEBB09-060F-49F9-B3CC-DA96939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3F"/>
  </w:style>
  <w:style w:type="paragraph" w:styleId="Heading3">
    <w:name w:val="heading 3"/>
    <w:basedOn w:val="Normal"/>
    <w:link w:val="Heading3Char"/>
    <w:uiPriority w:val="9"/>
    <w:qFormat/>
    <w:rsid w:val="007633B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3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33B6"/>
    <w:rPr>
      <w:rFonts w:eastAsia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7633B6"/>
    <w:rPr>
      <w:b/>
      <w:bCs/>
    </w:rPr>
  </w:style>
  <w:style w:type="paragraph" w:styleId="NormalWeb">
    <w:name w:val="Normal (Web)"/>
    <w:basedOn w:val="Normal"/>
    <w:uiPriority w:val="99"/>
    <w:unhideWhenUsed/>
    <w:rsid w:val="007633B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D30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630B"/>
    <w:rPr>
      <w:color w:val="0000FF"/>
      <w:u w:val="single"/>
    </w:rPr>
  </w:style>
  <w:style w:type="table" w:styleId="TableGrid">
    <w:name w:val="Table Grid"/>
    <w:basedOn w:val="TableNormal"/>
    <w:uiPriority w:val="59"/>
    <w:rsid w:val="00B6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C196-DBE6-4C98-A11D-EB6D9B97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Nguyễn Thị Hường</cp:lastModifiedBy>
  <cp:revision>28</cp:revision>
  <cp:lastPrinted>2022-09-08T08:02:00Z</cp:lastPrinted>
  <dcterms:created xsi:type="dcterms:W3CDTF">2025-05-05T01:56:00Z</dcterms:created>
  <dcterms:modified xsi:type="dcterms:W3CDTF">2025-05-07T02:15:00Z</dcterms:modified>
</cp:coreProperties>
</file>