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0EB6" w14:textId="7CD74AE7" w:rsidR="00EA29F5" w:rsidRDefault="00EA29F5">
      <w:pPr>
        <w:rPr>
          <w:sz w:val="24"/>
          <w:szCs w:val="24"/>
        </w:rPr>
      </w:pPr>
      <w:r w:rsidRPr="002D669B">
        <w:rPr>
          <w:b/>
          <w:sz w:val="24"/>
          <w:szCs w:val="24"/>
          <w:u w:val="single"/>
        </w:rPr>
        <w:t>ĐƠN VỊ THÔNG TIN THUỐC</w:t>
      </w:r>
      <w:r w:rsidR="002D669B">
        <w:rPr>
          <w:b/>
          <w:sz w:val="24"/>
          <w:szCs w:val="24"/>
          <w:u w:val="single"/>
        </w:rPr>
        <w:t xml:space="preserve"> BV PHCN</w:t>
      </w:r>
      <w:r w:rsidR="00202E70">
        <w:rPr>
          <w:b/>
          <w:sz w:val="24"/>
          <w:szCs w:val="24"/>
          <w:u w:val="single"/>
        </w:rPr>
        <w:t xml:space="preserve"> – THÁNG </w:t>
      </w:r>
      <w:r w:rsidR="00C71E8F">
        <w:rPr>
          <w:b/>
          <w:sz w:val="24"/>
          <w:szCs w:val="24"/>
          <w:u w:val="single"/>
        </w:rPr>
        <w:t>05/2025</w:t>
      </w:r>
    </w:p>
    <w:p w14:paraId="7E89320E" w14:textId="5EB71BE7" w:rsidR="00EA29F5" w:rsidRPr="00C71E8F" w:rsidRDefault="00C71E8F" w:rsidP="002D669B">
      <w:pPr>
        <w:jc w:val="center"/>
        <w:rPr>
          <w:b/>
          <w:sz w:val="32"/>
          <w:szCs w:val="32"/>
        </w:rPr>
      </w:pPr>
      <w:r w:rsidRPr="00C71E8F">
        <w:rPr>
          <w:b/>
          <w:sz w:val="32"/>
          <w:szCs w:val="32"/>
        </w:rPr>
        <w:t xml:space="preserve">AM – ISARTAN </w:t>
      </w:r>
    </w:p>
    <w:p w14:paraId="70525066" w14:textId="2963C101" w:rsidR="002D669B" w:rsidRPr="00667F0F" w:rsidRDefault="00215862" w:rsidP="002D669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49F4498D" wp14:editId="6A616F8F">
            <wp:extent cx="1284646" cy="794663"/>
            <wp:effectExtent l="0" t="0" r="0" b="5715"/>
            <wp:docPr id="1573558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86" cy="80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4440" w14:textId="77777777" w:rsidR="00EF653A" w:rsidRPr="0072680B" w:rsidRDefault="00EA29F5" w:rsidP="003D3A67">
      <w:pPr>
        <w:spacing w:after="12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CÔNG THỨC:</w:t>
      </w:r>
      <w:r w:rsidR="00184029" w:rsidRPr="0072680B">
        <w:rPr>
          <w:rFonts w:cs="Times New Roman"/>
          <w:b/>
          <w:noProof/>
          <w:color w:val="000000" w:themeColor="text1"/>
          <w:sz w:val="26"/>
          <w:szCs w:val="26"/>
        </w:rPr>
        <w:t xml:space="preserve"> </w:t>
      </w:r>
    </w:p>
    <w:p w14:paraId="15A71CCF" w14:textId="4C2AE152" w:rsidR="00184029" w:rsidRPr="0072680B" w:rsidRDefault="00505921" w:rsidP="00505921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- </w:t>
      </w:r>
      <w:r w:rsidR="00667F0F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Irbesartan</w:t>
      </w:r>
      <w:r w:rsidR="00477ABF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667F0F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……………………………………….</w:t>
      </w:r>
      <w:r w:rsidR="00667F0F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150m</w:t>
      </w:r>
      <w:r w:rsidR="00667F0F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g</w:t>
      </w:r>
    </w:p>
    <w:p w14:paraId="1621FF9D" w14:textId="4F85E2D7" w:rsidR="00477ABF" w:rsidRPr="0072680B" w:rsidRDefault="00505921" w:rsidP="00505921">
      <w:pPr>
        <w:spacing w:after="120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2680B">
        <w:rPr>
          <w:rFonts w:cs="Times New Roman"/>
          <w:color w:val="000000" w:themeColor="text1"/>
          <w:sz w:val="26"/>
          <w:szCs w:val="26"/>
        </w:rPr>
        <w:t xml:space="preserve">- </w:t>
      </w:r>
      <w:r w:rsidR="00781DD0" w:rsidRPr="0072680B">
        <w:rPr>
          <w:rFonts w:cs="Times New Roman"/>
          <w:color w:val="000000" w:themeColor="text1"/>
          <w:sz w:val="26"/>
          <w:szCs w:val="26"/>
        </w:rPr>
        <w:t>Tá dược vđ…………………………………………</w:t>
      </w:r>
      <w:r w:rsidR="00994012" w:rsidRPr="0072680B">
        <w:rPr>
          <w:rFonts w:cs="Times New Roman"/>
          <w:color w:val="000000" w:themeColor="text1"/>
          <w:sz w:val="26"/>
          <w:szCs w:val="26"/>
        </w:rPr>
        <w:t>1</w:t>
      </w:r>
      <w:r w:rsidR="00781DD0" w:rsidRPr="0072680B">
        <w:rPr>
          <w:rFonts w:cs="Times New Roman"/>
          <w:color w:val="000000" w:themeColor="text1"/>
          <w:sz w:val="26"/>
          <w:szCs w:val="26"/>
        </w:rPr>
        <w:t>viên</w:t>
      </w:r>
    </w:p>
    <w:p w14:paraId="03D80D1A" w14:textId="6485C76E" w:rsidR="00477ABF" w:rsidRPr="0072680B" w:rsidRDefault="00505921" w:rsidP="005C4F17">
      <w:pPr>
        <w:spacing w:after="120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2680B">
        <w:rPr>
          <w:rFonts w:cs="Times New Roman"/>
          <w:color w:val="000000" w:themeColor="text1"/>
          <w:sz w:val="26"/>
          <w:szCs w:val="26"/>
        </w:rPr>
        <w:t>(Microcr</w:t>
      </w:r>
      <w:r w:rsidR="00232B97" w:rsidRPr="0072680B">
        <w:rPr>
          <w:rFonts w:cs="Times New Roman"/>
          <w:color w:val="000000" w:themeColor="text1"/>
          <w:sz w:val="26"/>
          <w:szCs w:val="26"/>
        </w:rPr>
        <w:t>ystallin cellulose 101, PVP k30, Natri starch glycolat, Emdex</w:t>
      </w:r>
      <w:r w:rsidR="005C4F17" w:rsidRPr="0072680B">
        <w:rPr>
          <w:rFonts w:cs="Times New Roman"/>
          <w:color w:val="000000" w:themeColor="text1"/>
          <w:sz w:val="26"/>
          <w:szCs w:val="26"/>
        </w:rPr>
        <w:t>, Aerosil, Magnesi stearat).</w:t>
      </w:r>
    </w:p>
    <w:p w14:paraId="74AAEB20" w14:textId="38921C3E" w:rsidR="006F3DDE" w:rsidRPr="0072680B" w:rsidRDefault="006F3DDE" w:rsidP="00C126FD">
      <w:pPr>
        <w:tabs>
          <w:tab w:val="left" w:pos="4065"/>
        </w:tabs>
        <w:spacing w:after="120"/>
        <w:jc w:val="both"/>
        <w:rPr>
          <w:rFonts w:cs="Times New Roman"/>
          <w:color w:val="000000" w:themeColor="text1"/>
          <w:sz w:val="26"/>
          <w:szCs w:val="26"/>
        </w:rPr>
      </w:pPr>
      <w:r w:rsidRPr="0072680B">
        <w:rPr>
          <w:rFonts w:cs="Times New Roman"/>
          <w:b/>
          <w:bCs/>
          <w:color w:val="000000" w:themeColor="text1"/>
          <w:sz w:val="26"/>
          <w:szCs w:val="26"/>
          <w:u w:val="single"/>
        </w:rPr>
        <w:t>DẠNG BÀO CHẾ</w:t>
      </w:r>
      <w:r w:rsidRPr="0072680B">
        <w:rPr>
          <w:rFonts w:cs="Times New Roman"/>
          <w:color w:val="000000" w:themeColor="text1"/>
          <w:sz w:val="26"/>
          <w:szCs w:val="26"/>
        </w:rPr>
        <w:t>:</w:t>
      </w:r>
      <w:r w:rsidR="005C4F17" w:rsidRPr="0072680B">
        <w:rPr>
          <w:rFonts w:cs="Times New Roman"/>
          <w:color w:val="000000" w:themeColor="text1"/>
          <w:sz w:val="26"/>
          <w:szCs w:val="26"/>
        </w:rPr>
        <w:t xml:space="preserve"> </w:t>
      </w:r>
      <w:r w:rsidR="00EB41F0" w:rsidRPr="0072680B">
        <w:rPr>
          <w:rFonts w:cs="Times New Roman"/>
          <w:color w:val="000000" w:themeColor="text1"/>
          <w:sz w:val="26"/>
          <w:szCs w:val="26"/>
        </w:rPr>
        <w:t xml:space="preserve">Viên nén </w:t>
      </w:r>
    </w:p>
    <w:p w14:paraId="12823342" w14:textId="178FEA14" w:rsidR="00D27B7D" w:rsidRPr="0072680B" w:rsidRDefault="00D27B7D" w:rsidP="003D3A6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CHỈ ĐỊNH:</w:t>
      </w:r>
    </w:p>
    <w:p w14:paraId="0713C395" w14:textId="5530E5C9" w:rsidR="00EE3279" w:rsidRPr="0072680B" w:rsidRDefault="006A1E4B" w:rsidP="00C623B3">
      <w:pPr>
        <w:shd w:val="clear" w:color="auto" w:fill="FFFFFF"/>
        <w:jc w:val="both"/>
        <w:rPr>
          <w:rFonts w:cs="Times New Roman"/>
          <w:color w:val="000000" w:themeColor="text1"/>
          <w:sz w:val="26"/>
          <w:szCs w:val="26"/>
        </w:rPr>
      </w:pPr>
      <w:r w:rsidRPr="0072680B">
        <w:rPr>
          <w:rFonts w:cs="Times New Roman"/>
          <w:color w:val="000000" w:themeColor="text1"/>
          <w:sz w:val="26"/>
          <w:szCs w:val="26"/>
        </w:rPr>
        <w:tab/>
        <w:t>- Tăng huyết áp động mạch vô căn, đặc biệt cho những trường hợp dùng thuốc ức chế enzym</w:t>
      </w:r>
      <w:r w:rsidR="00E83769" w:rsidRPr="0072680B">
        <w:rPr>
          <w:rFonts w:cs="Times New Roman"/>
          <w:color w:val="000000" w:themeColor="text1"/>
          <w:sz w:val="26"/>
          <w:szCs w:val="26"/>
        </w:rPr>
        <w:t xml:space="preserve"> chuyển bị ho và để giảm nguy cơ bị đột quỵ</w:t>
      </w:r>
      <w:r w:rsidR="007F161F" w:rsidRPr="0072680B">
        <w:rPr>
          <w:rFonts w:cs="Times New Roman"/>
          <w:color w:val="000000" w:themeColor="text1"/>
          <w:sz w:val="26"/>
          <w:szCs w:val="26"/>
        </w:rPr>
        <w:t xml:space="preserve"> ở người bị phì đại thất trái.</w:t>
      </w:r>
    </w:p>
    <w:p w14:paraId="31BE3237" w14:textId="6DBC1888" w:rsidR="007F161F" w:rsidRPr="0072680B" w:rsidRDefault="007F161F" w:rsidP="00C623B3">
      <w:pPr>
        <w:shd w:val="clear" w:color="auto" w:fill="FFFFFF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color w:val="000000" w:themeColor="text1"/>
          <w:sz w:val="26"/>
          <w:szCs w:val="26"/>
        </w:rPr>
        <w:tab/>
        <w:t>- Bệnh thận do đái tháo đường typ 2 có tăng huyết áp.</w:t>
      </w:r>
    </w:p>
    <w:p w14:paraId="04139D7E" w14:textId="0E3E3CB6" w:rsidR="00D27B7D" w:rsidRPr="0072680B" w:rsidRDefault="00E52C37" w:rsidP="003D3A6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LIỀU LƯỢNG VÀ CÁCH DÙNG:</w:t>
      </w:r>
    </w:p>
    <w:p w14:paraId="55DA634E" w14:textId="6060A862" w:rsidR="004C7C1A" w:rsidRPr="0072680B" w:rsidRDefault="004C7C1A" w:rsidP="003D3A67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 xml:space="preserve">Liều lượng của Irbesartan  phải </w:t>
      </w:r>
      <w:r w:rsidR="00F13294" w:rsidRPr="0072680B">
        <w:rPr>
          <w:rFonts w:cs="Times New Roman"/>
          <w:bCs/>
          <w:color w:val="000000" w:themeColor="text1"/>
          <w:sz w:val="26"/>
          <w:szCs w:val="26"/>
        </w:rPr>
        <w:t>được điều chỉnh cho từng bệnh nhân căn cứ vào đáp ứng lâm sàng.</w:t>
      </w:r>
    </w:p>
    <w:p w14:paraId="1A96EE1A" w14:textId="1840340F" w:rsidR="00994012" w:rsidRPr="0072680B" w:rsidRDefault="0043325F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="00F13294" w:rsidRPr="0072680B">
        <w:rPr>
          <w:rFonts w:cs="Times New Roman"/>
          <w:bCs/>
          <w:color w:val="000000" w:themeColor="text1"/>
          <w:sz w:val="26"/>
          <w:szCs w:val="26"/>
        </w:rPr>
        <w:t xml:space="preserve">Người lớn: </w:t>
      </w:r>
      <w:r w:rsidR="00252341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 xml:space="preserve">Liều </w:t>
      </w:r>
      <w:r w:rsidR="00A506EF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khởi đầu </w:t>
      </w:r>
      <w:r w:rsidR="00252341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và duy trì</w:t>
      </w:r>
      <w:r w:rsidR="00A506EF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thông thường hàng ngày</w:t>
      </w:r>
      <w:r w:rsidR="00252341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 xml:space="preserve"> là 150 mg</w:t>
      </w:r>
      <w:r w:rsidR="00A235C1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/lần/ngày</w:t>
      </w:r>
      <w:r w:rsidR="00252341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 xml:space="preserve">, </w:t>
      </w:r>
      <w:r w:rsidR="00A235C1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có thể uống trong, trước hoặc sau bữa ăn</w:t>
      </w:r>
      <w:r w:rsidR="00936D90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. Nếu liều 150 mg/lần/ngày không đủ để kiểm soát huyết áp thì có thể tăng lên 300 mg /ngày</w:t>
      </w:r>
      <w:r w:rsidR="003953AE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hoặc dùng thêm một thuốc chống tăng huyết áp khác. Ví dụ nếu kết hợp </w:t>
      </w:r>
      <w:r w:rsidR="003953AE" w:rsidRPr="0072680B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t>Irbesartan</w:t>
      </w:r>
      <w:r w:rsidR="00903421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 với một thuốc lợi tiểu như hydrocloro</w:t>
      </w:r>
      <w:r w:rsidR="005547DC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thiazid sẽ thu được </w:t>
      </w: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một tác dụng hạ huyết áp cộng hợp.</w:t>
      </w:r>
    </w:p>
    <w:p w14:paraId="5DF0F198" w14:textId="5DDE8BCA" w:rsidR="00BA6465" w:rsidRPr="0072680B" w:rsidRDefault="00BA6465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- Với người già trên 75 tuổi: Liều 75 mg/lần/ngày.</w:t>
      </w:r>
    </w:p>
    <w:p w14:paraId="18D2DE6E" w14:textId="64E65C18" w:rsidR="00BA6465" w:rsidRPr="0072680B" w:rsidRDefault="00BA6465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- Suy thận: Không cần điều chỉnh liều </w:t>
      </w:r>
      <w:r w:rsidR="0020357B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ở những người bệnh suy thận. Với những người bệnh phải lọc máu liêu khởi đầu là 75 mg/ngày.</w:t>
      </w:r>
    </w:p>
    <w:p w14:paraId="51F85CE4" w14:textId="572994BE" w:rsidR="0020357B" w:rsidRPr="0072680B" w:rsidRDefault="0020357B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- Trong điều trị bệnh thận </w:t>
      </w:r>
      <w:r w:rsidR="00EC176B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ở những bệnh nhân đái tháo </w:t>
      </w:r>
      <w:r w:rsidR="00A06646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đường tuýp 2 có tăng huyết áp, nên khởi đầu với liều 150 mg x 1 lần/ngày, tăng đến liều 300 mg x 1 lần/ngày như là liều duy trì</w:t>
      </w:r>
      <w:r w:rsidR="00603B58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28267AE4" w14:textId="4049758D" w:rsidR="00603B58" w:rsidRPr="0072680B" w:rsidRDefault="00603B58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- Giảm thể tích máu: Khi bị giảm thể tích máu </w:t>
      </w:r>
      <w:r w:rsidR="000B2A78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hoặc mất nước và muối thì cần khắc phục những hiện tượng này trước khi dùng Irbesartan</w:t>
      </w:r>
      <w:r w:rsidR="002140C4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0055B365" w14:textId="6E0B84C9" w:rsidR="002140C4" w:rsidRPr="0072680B" w:rsidRDefault="002140C4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- Suy gan: Không cần điều chỉnh liều với các bệnh nhân có suy gan nhẹ hoặc vừa</w:t>
      </w:r>
      <w:r w:rsidR="00784A72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. Chưa có kinh nghiệm lâm sàng </w:t>
      </w:r>
      <w:r w:rsidR="00393FC5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với suy gan nặng</w:t>
      </w:r>
      <w:r w:rsidR="00E77E6D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411AE302" w14:textId="4FD5AEAF" w:rsidR="00E77E6D" w:rsidRPr="0072680B" w:rsidRDefault="00E77E6D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- Trẻ em: Irbesartan chưa </w:t>
      </w:r>
      <w:r w:rsidR="00C20E24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xác định </w:t>
      </w:r>
      <w:r w:rsidR="002F0947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 xml:space="preserve">được về tính an toàn và hiệu quả trên </w:t>
      </w:r>
      <w:r w:rsidR="00F43EFC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trẻ em</w:t>
      </w:r>
      <w:r w:rsidR="00D53068" w:rsidRPr="0072680B">
        <w:rPr>
          <w:rFonts w:eastAsia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0650E536" w14:textId="77777777" w:rsidR="00D53068" w:rsidRPr="0072680B" w:rsidRDefault="00D53068" w:rsidP="0043325F">
      <w:pPr>
        <w:spacing w:after="0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14:paraId="17FB1E76" w14:textId="15D4B983" w:rsidR="00D84017" w:rsidRPr="0072680B" w:rsidRDefault="00D84017" w:rsidP="003D3A6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CHỐNG CHỈ ĐỊNH:</w:t>
      </w:r>
    </w:p>
    <w:p w14:paraId="113557D1" w14:textId="740247B9" w:rsidR="00D53068" w:rsidRPr="0072680B" w:rsidRDefault="00D53068" w:rsidP="003D3A67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DB6869" w:rsidRPr="0072680B">
        <w:rPr>
          <w:rFonts w:cs="Times New Roman"/>
          <w:bCs/>
          <w:color w:val="000000" w:themeColor="text1"/>
          <w:sz w:val="26"/>
          <w:szCs w:val="26"/>
        </w:rPr>
        <w:t>Quá mẫn với Irbesartan hoặc bất kỳ thành phần nào của thuốc.</w:t>
      </w:r>
    </w:p>
    <w:p w14:paraId="4244B9E0" w14:textId="38D44A3F" w:rsidR="00DB6869" w:rsidRPr="0072680B" w:rsidRDefault="00DB6869" w:rsidP="003D3A67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>- Phụ nữ có thai ở giai đoạn 2,3 của thai kỳ</w:t>
      </w:r>
      <w:r w:rsidR="00DF5924" w:rsidRPr="0072680B">
        <w:rPr>
          <w:rFonts w:cs="Times New Roman"/>
          <w:bCs/>
          <w:color w:val="000000" w:themeColor="text1"/>
          <w:sz w:val="26"/>
          <w:szCs w:val="26"/>
        </w:rPr>
        <w:t xml:space="preserve"> hoặc đang cho con bú.</w:t>
      </w:r>
    </w:p>
    <w:p w14:paraId="4E0F89F4" w14:textId="730D8122" w:rsidR="00DF5924" w:rsidRPr="0072680B" w:rsidRDefault="00DF5924" w:rsidP="003D3A67">
      <w:pPr>
        <w:spacing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>- Phối hợp với các thuốc chứa aliskiren</w:t>
      </w:r>
      <w:r w:rsidR="00D111E6" w:rsidRPr="0072680B">
        <w:rPr>
          <w:rFonts w:cs="Times New Roman"/>
          <w:bCs/>
          <w:color w:val="000000" w:themeColor="text1"/>
          <w:sz w:val="26"/>
          <w:szCs w:val="26"/>
        </w:rPr>
        <w:t xml:space="preserve"> ở bệnh nhân đái tháo đường hoặc bệnh nhân suy thận có mức lọc cầu thận &lt; 60 ml/phút/1,73</w:t>
      </w:r>
      <w:r w:rsidR="00BC25BF" w:rsidRPr="0072680B">
        <w:rPr>
          <w:rFonts w:cs="Times New Roman"/>
          <w:bCs/>
          <w:color w:val="000000" w:themeColor="text1"/>
          <w:sz w:val="26"/>
          <w:szCs w:val="26"/>
        </w:rPr>
        <w:t xml:space="preserve"> m</w:t>
      </w:r>
      <w:r w:rsidR="00BC25BF" w:rsidRPr="0072680B">
        <w:rPr>
          <w:rFonts w:cs="Times New Roman"/>
          <w:bCs/>
          <w:color w:val="000000" w:themeColor="text1"/>
          <w:sz w:val="26"/>
          <w:szCs w:val="26"/>
          <w:vertAlign w:val="superscript"/>
        </w:rPr>
        <w:t>2.</w:t>
      </w:r>
    </w:p>
    <w:p w14:paraId="168B62FD" w14:textId="5F58DDF5" w:rsidR="00D84017" w:rsidRPr="0072680B" w:rsidRDefault="00D84017" w:rsidP="00DF174B">
      <w:pPr>
        <w:spacing w:before="120" w:after="0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THẬN TRỌNG:</w:t>
      </w:r>
    </w:p>
    <w:p w14:paraId="2AC98E2B" w14:textId="610D209B" w:rsidR="00EA5F47" w:rsidRPr="0072680B" w:rsidRDefault="00EA5F47" w:rsidP="00DF174B">
      <w:pPr>
        <w:spacing w:before="120"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lastRenderedPageBreak/>
        <w:tab/>
        <w:t xml:space="preserve">- </w:t>
      </w:r>
      <w:r w:rsidR="00315BC6" w:rsidRPr="0072680B">
        <w:rPr>
          <w:rFonts w:cs="Times New Roman"/>
          <w:bCs/>
          <w:color w:val="000000" w:themeColor="text1"/>
          <w:sz w:val="26"/>
          <w:szCs w:val="26"/>
        </w:rPr>
        <w:t xml:space="preserve">Giảm thể tích máu: ở những bệnh nhân bị giảm thể tích máu như mất muối và nước do dùng nhóm lợi tiểu mạnh, tiêu chảy hoặc nôn kéo dài. </w:t>
      </w:r>
      <w:r w:rsidR="005433BF" w:rsidRPr="0072680B">
        <w:rPr>
          <w:rFonts w:cs="Times New Roman"/>
          <w:bCs/>
          <w:color w:val="000000" w:themeColor="text1"/>
          <w:sz w:val="26"/>
          <w:szCs w:val="26"/>
        </w:rPr>
        <w:t>Cần thiết phải điều trị giảm thể tích máu trước khi cho dùng Irbesartan.</w:t>
      </w:r>
    </w:p>
    <w:p w14:paraId="190AC556" w14:textId="245D0838" w:rsidR="005433BF" w:rsidRPr="0072680B" w:rsidRDefault="005433BF" w:rsidP="00DF174B">
      <w:pPr>
        <w:spacing w:before="120" w:after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Dùng thận trọng cho người bệnh có trương lực thành mạch và chức năng thận </w:t>
      </w:r>
      <w:r w:rsidR="00EB1F73" w:rsidRPr="0072680B">
        <w:rPr>
          <w:rFonts w:cs="Times New Roman"/>
          <w:bCs/>
          <w:color w:val="000000" w:themeColor="text1"/>
          <w:sz w:val="26"/>
          <w:szCs w:val="26"/>
        </w:rPr>
        <w:t xml:space="preserve">phụ thuộc chủ yếu vào hoạt động của hệ renin- angiotensin – aldosteron (như người bệnh bị suy tim sung huyết nặng </w:t>
      </w:r>
      <w:r w:rsidR="006F4286" w:rsidRPr="0072680B">
        <w:rPr>
          <w:rFonts w:cs="Times New Roman"/>
          <w:bCs/>
          <w:color w:val="000000" w:themeColor="text1"/>
          <w:sz w:val="26"/>
          <w:szCs w:val="26"/>
        </w:rPr>
        <w:t xml:space="preserve">hoặc bị một bệnh thận nặng như hẹp động mạch thận hai bên): Nguy cơ hạ huyết áp mạnh, đột ngột dễ gây nhồi máu </w:t>
      </w:r>
      <w:r w:rsidR="00D4502D" w:rsidRPr="0072680B">
        <w:rPr>
          <w:rFonts w:cs="Times New Roman"/>
          <w:bCs/>
          <w:color w:val="000000" w:themeColor="text1"/>
          <w:sz w:val="26"/>
          <w:szCs w:val="26"/>
        </w:rPr>
        <w:t>cơ tim hoặc tai biến mạch máu não.</w:t>
      </w:r>
    </w:p>
    <w:p w14:paraId="00F69A98" w14:textId="4C6F8032" w:rsidR="00A8041B" w:rsidRPr="0072680B" w:rsidRDefault="00A8041B" w:rsidP="00D4017D">
      <w:pPr>
        <w:spacing w:before="12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TƯƠNG TÁC THUỐC:</w:t>
      </w:r>
    </w:p>
    <w:p w14:paraId="2276BDAF" w14:textId="78C3082A" w:rsidR="00C33A1F" w:rsidRPr="0072680B" w:rsidRDefault="00C33A1F" w:rsidP="00D4017D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Dùng đồng thời Irbesartan với các thuốc lợi tiểu </w:t>
      </w:r>
      <w:r w:rsidR="001323CB" w:rsidRPr="0072680B">
        <w:rPr>
          <w:rFonts w:cs="Times New Roman"/>
          <w:bCs/>
          <w:color w:val="000000" w:themeColor="text1"/>
          <w:sz w:val="26"/>
          <w:szCs w:val="26"/>
        </w:rPr>
        <w:t xml:space="preserve">giữ kali </w:t>
      </w:r>
      <w:r w:rsidR="00EC2AE5" w:rsidRPr="0072680B">
        <w:rPr>
          <w:rFonts w:cs="Times New Roman"/>
          <w:bCs/>
          <w:color w:val="000000" w:themeColor="text1"/>
          <w:sz w:val="26"/>
          <w:szCs w:val="26"/>
        </w:rPr>
        <w:t>hoặc bổ sung kali có thể làm tăng nồng độ kali huyết.</w:t>
      </w:r>
    </w:p>
    <w:p w14:paraId="14DE9DDB" w14:textId="172388DD" w:rsidR="00DA3112" w:rsidRPr="0072680B" w:rsidRDefault="001323CB" w:rsidP="00D4017D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EC2AE5" w:rsidRPr="0072680B">
        <w:rPr>
          <w:rFonts w:cs="Times New Roman"/>
          <w:bCs/>
          <w:color w:val="000000" w:themeColor="text1"/>
          <w:sz w:val="26"/>
          <w:szCs w:val="26"/>
        </w:rPr>
        <w:t xml:space="preserve">Với lithi: </w:t>
      </w:r>
      <w:r w:rsidR="00CE7039" w:rsidRPr="0072680B">
        <w:rPr>
          <w:rFonts w:cs="Times New Roman"/>
          <w:bCs/>
          <w:color w:val="000000" w:themeColor="text1"/>
          <w:sz w:val="26"/>
          <w:szCs w:val="26"/>
        </w:rPr>
        <w:t xml:space="preserve">Do nguy cơ tăng nồng độ lithi huyết thanh, phải theo dõi </w:t>
      </w:r>
      <w:r w:rsidR="00AA425B" w:rsidRPr="0072680B">
        <w:rPr>
          <w:rFonts w:cs="Times New Roman"/>
          <w:bCs/>
          <w:color w:val="000000" w:themeColor="text1"/>
          <w:sz w:val="26"/>
          <w:szCs w:val="26"/>
        </w:rPr>
        <w:t>c</w:t>
      </w:r>
      <w:r w:rsidR="00A023C1" w:rsidRPr="0072680B">
        <w:rPr>
          <w:rFonts w:cs="Times New Roman"/>
          <w:bCs/>
          <w:color w:val="000000" w:themeColor="text1"/>
          <w:sz w:val="26"/>
          <w:szCs w:val="26"/>
        </w:rPr>
        <w:t>hặt chẽ nồng độ lithi huyết thanh.</w:t>
      </w:r>
    </w:p>
    <w:p w14:paraId="287E645B" w14:textId="15799238" w:rsidR="00A023C1" w:rsidRPr="0072680B" w:rsidRDefault="00A023C1" w:rsidP="00D4017D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2906D1" w:rsidRPr="0072680B">
        <w:rPr>
          <w:rFonts w:cs="Times New Roman"/>
          <w:bCs/>
          <w:color w:val="000000" w:themeColor="text1"/>
          <w:sz w:val="26"/>
          <w:szCs w:val="26"/>
        </w:rPr>
        <w:t>Với các thuốc chứa aliskiren hoặc ức chế men chuyển: Sử dụng kết hợp đồng thời với các thuốc ức chế men chuyển</w:t>
      </w:r>
      <w:r w:rsidR="005D17AA" w:rsidRPr="0072680B">
        <w:rPr>
          <w:rFonts w:cs="Times New Roman"/>
          <w:bCs/>
          <w:color w:val="000000" w:themeColor="text1"/>
          <w:sz w:val="26"/>
          <w:szCs w:val="26"/>
        </w:rPr>
        <w:t>, thuốc ức chế Receptor angiotensin</w:t>
      </w:r>
      <w:r w:rsidR="00474826" w:rsidRPr="0072680B">
        <w:rPr>
          <w:rFonts w:cs="Times New Roman"/>
          <w:bCs/>
          <w:color w:val="000000" w:themeColor="text1"/>
          <w:sz w:val="26"/>
          <w:szCs w:val="26"/>
        </w:rPr>
        <w:t xml:space="preserve"> II hoặc aliskiren làm gia tăng nguy cơ gây ra các tác dụng phụ như tụt huyết áp, tăng kali máu và suy giảm chức năng thận.</w:t>
      </w:r>
    </w:p>
    <w:p w14:paraId="21F57F00" w14:textId="740C8B12" w:rsidR="00474826" w:rsidRPr="0072680B" w:rsidRDefault="00474826" w:rsidP="00D4017D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>- Với các thuốc kháng viêm non-steroid (NSAID</w:t>
      </w:r>
      <w:r w:rsidR="008A007E" w:rsidRPr="0072680B">
        <w:rPr>
          <w:rFonts w:cs="Times New Roman"/>
          <w:bCs/>
          <w:color w:val="000000" w:themeColor="text1"/>
          <w:sz w:val="26"/>
          <w:szCs w:val="26"/>
        </w:rPr>
        <w:t>): tác dụng điều trị tăng huyết áp của irbesartan có thể bị giảm đi bởi các thuốc kháng viêm non-steroid</w:t>
      </w:r>
      <w:r w:rsidR="000A7CBF" w:rsidRPr="0072680B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555A4A77" w14:textId="62B8D875" w:rsidR="000A7CBF" w:rsidRPr="0072680B" w:rsidRDefault="000A7CBF" w:rsidP="00D4017D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ab/>
        <w:t xml:space="preserve">- Các thuốc chống tăng huyết áp khác có thể làm tăng tác dụng hạ huyết áp của Irbesartan. Nhưng Irbesartan vẫn  có thể kết </w:t>
      </w:r>
      <w:r w:rsidR="005743D9" w:rsidRPr="0072680B">
        <w:rPr>
          <w:rFonts w:cs="Times New Roman"/>
          <w:bCs/>
          <w:color w:val="000000" w:themeColor="text1"/>
          <w:sz w:val="26"/>
          <w:szCs w:val="26"/>
        </w:rPr>
        <w:t xml:space="preserve">hợp được với các thuốc </w:t>
      </w:r>
      <w:r w:rsidR="00622136" w:rsidRPr="0072680B">
        <w:rPr>
          <w:rFonts w:cs="Times New Roman"/>
          <w:bCs/>
          <w:color w:val="000000" w:themeColor="text1"/>
          <w:sz w:val="26"/>
          <w:szCs w:val="26"/>
        </w:rPr>
        <w:t xml:space="preserve">chống tăng huyết áp khác như thuốc chẹn beta, chen aclci hoặc các thuốc lợi tiểu nhóm thiazid. </w:t>
      </w:r>
    </w:p>
    <w:p w14:paraId="71CDF3C6" w14:textId="77777777" w:rsidR="000E77FB" w:rsidRPr="0072680B" w:rsidRDefault="000507CF" w:rsidP="000E77FB">
      <w:pPr>
        <w:spacing w:before="12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SỬ DỤNG CHO PNCT VÀ CHO CON BÚ:</w:t>
      </w:r>
    </w:p>
    <w:p w14:paraId="0FE5A4BD" w14:textId="00240B5A" w:rsidR="00510AC8" w:rsidRPr="0072680B" w:rsidRDefault="000E77FB" w:rsidP="00510AC8">
      <w:pPr>
        <w:spacing w:before="120" w:after="0" w:line="240" w:lineRule="auto"/>
        <w:ind w:firstLine="36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 xml:space="preserve">- Phụ nữ có thai: </w:t>
      </w:r>
      <w:r w:rsidR="008D50C2" w:rsidRPr="0072680B">
        <w:rPr>
          <w:rFonts w:cs="Times New Roman"/>
          <w:bCs/>
          <w:color w:val="000000" w:themeColor="text1"/>
          <w:sz w:val="26"/>
          <w:szCs w:val="26"/>
        </w:rPr>
        <w:t xml:space="preserve">Các thuốc tác động trực tiếp lên hệ renin-angiotensin có thể gây bệnh tật và tử vong cho bào thai và trẻ sơ sinh </w:t>
      </w:r>
      <w:r w:rsidR="001B23B4" w:rsidRPr="0072680B">
        <w:rPr>
          <w:rFonts w:cs="Times New Roman"/>
          <w:bCs/>
          <w:color w:val="000000" w:themeColor="text1"/>
          <w:sz w:val="26"/>
          <w:szCs w:val="26"/>
        </w:rPr>
        <w:t xml:space="preserve">khi dùng trong giai đoạn thứ 2 và giai đoạn thứ 3 của thai kỳ. Nên ngưng dùng Irbesartan </w:t>
      </w:r>
      <w:r w:rsidR="00C07977" w:rsidRPr="0072680B">
        <w:rPr>
          <w:rFonts w:cs="Times New Roman"/>
          <w:bCs/>
          <w:color w:val="000000" w:themeColor="text1"/>
          <w:sz w:val="26"/>
          <w:szCs w:val="26"/>
        </w:rPr>
        <w:t>càng sớm càng tốt khi được chẩn đoán có thai.</w:t>
      </w:r>
    </w:p>
    <w:p w14:paraId="22B9A32C" w14:textId="088E074C" w:rsidR="00D35FB7" w:rsidRPr="0072680B" w:rsidRDefault="00D35FB7" w:rsidP="00510AC8">
      <w:pPr>
        <w:spacing w:before="120" w:after="0" w:line="240" w:lineRule="auto"/>
        <w:ind w:firstLine="360"/>
        <w:jc w:val="both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Fonts w:cs="Times New Roman"/>
          <w:bCs/>
          <w:color w:val="000000" w:themeColor="text1"/>
          <w:sz w:val="26"/>
          <w:szCs w:val="26"/>
        </w:rPr>
        <w:t xml:space="preserve">- Phụ nữ cho con bú: Nguy cơ xảy ra </w:t>
      </w:r>
      <w:r w:rsidR="00920A27" w:rsidRPr="0072680B">
        <w:rPr>
          <w:rFonts w:cs="Times New Roman"/>
          <w:bCs/>
          <w:color w:val="000000" w:themeColor="text1"/>
          <w:sz w:val="26"/>
          <w:szCs w:val="26"/>
        </w:rPr>
        <w:t>tác dụng phụ trên trẻ bú mẹ, nên ngưng cho bú hoặc ngưng dùng thuốc.</w:t>
      </w:r>
    </w:p>
    <w:p w14:paraId="2857374A" w14:textId="0C68EC6A" w:rsidR="007C2B94" w:rsidRPr="0072680B" w:rsidRDefault="007C2B94" w:rsidP="00D4017D">
      <w:pPr>
        <w:pStyle w:val="a0"/>
        <w:shd w:val="clear" w:color="auto" w:fill="auto"/>
        <w:spacing w:before="120" w:line="240" w:lineRule="auto"/>
        <w:ind w:firstLine="14"/>
        <w:rPr>
          <w:rStyle w:val="a"/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vi-VN"/>
        </w:rPr>
      </w:pPr>
      <w:r w:rsidRPr="0072680B">
        <w:rPr>
          <w:rStyle w:val="a"/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vi-VN"/>
        </w:rPr>
        <w:t>ẢNH HƯỞNG ĐẾN KHẢ NĂNG LÁI XE VÀ VẬN HÀNH MÁY MÓC:</w:t>
      </w:r>
    </w:p>
    <w:p w14:paraId="0C9A8209" w14:textId="37E776D7" w:rsidR="0036044C" w:rsidRPr="0072680B" w:rsidRDefault="0036044C" w:rsidP="0036044C">
      <w:pPr>
        <w:pStyle w:val="a0"/>
        <w:shd w:val="clear" w:color="auto" w:fill="auto"/>
        <w:spacing w:before="120" w:line="240" w:lineRule="auto"/>
        <w:ind w:left="374" w:firstLine="0"/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- </w:t>
      </w:r>
      <w:r w:rsidR="00E00A6D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Người lái xe hay vận hành máy móc cần thận trọng khi sử dụng thuốc vì thuốc có thể gây chóng mặt, hoa mắt, đau đầu.</w:t>
      </w:r>
    </w:p>
    <w:p w14:paraId="145A25E4" w14:textId="61A9F511" w:rsidR="007C2B94" w:rsidRPr="0072680B" w:rsidRDefault="007C2B94" w:rsidP="00D4017D">
      <w:pPr>
        <w:pStyle w:val="a0"/>
        <w:shd w:val="clear" w:color="auto" w:fill="auto"/>
        <w:spacing w:before="120" w:line="240" w:lineRule="auto"/>
        <w:ind w:firstLine="14"/>
        <w:jc w:val="both"/>
        <w:rPr>
          <w:rStyle w:val="a"/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vi-VN"/>
        </w:rPr>
      </w:pPr>
      <w:r w:rsidRPr="0072680B">
        <w:rPr>
          <w:rStyle w:val="a"/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vi-VN"/>
        </w:rPr>
        <w:t>TÁC DỤNG KHÕNG MONG MUỐN CÙA THUỐC (ADR)</w:t>
      </w:r>
      <w:r w:rsidR="00D12DF1" w:rsidRPr="0072680B">
        <w:rPr>
          <w:rStyle w:val="a"/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vi-VN"/>
        </w:rPr>
        <w:t>:</w:t>
      </w:r>
    </w:p>
    <w:p w14:paraId="01C29F51" w14:textId="4680A152" w:rsidR="00E314C3" w:rsidRPr="0072680B" w:rsidRDefault="00E314C3" w:rsidP="00D4017D">
      <w:pPr>
        <w:pStyle w:val="a0"/>
        <w:shd w:val="clear" w:color="auto" w:fill="auto"/>
        <w:spacing w:before="120" w:line="240" w:lineRule="auto"/>
        <w:ind w:firstLine="14"/>
        <w:jc w:val="both"/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  <w:t xml:space="preserve">- Thường gặp: Chóng mặt, nhức đầu và hạ </w:t>
      </w:r>
      <w:r w:rsidR="00B95695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huyết áp thế đứng liên quan đến liều dùng. Tụt huyết áp có thể xảy ra, đặc biệt ở bệnh nhân bị giảm thể tích máu</w:t>
      </w:r>
      <w:r w:rsidR="00457F53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(như bệnh nhân đang dùng thuốc lợi tiểu liều cao). Suy thận và giảm huyết áp </w:t>
      </w:r>
      <w:r w:rsidR="0044730F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nặng khi có hẹp </w:t>
      </w:r>
      <w:r w:rsidR="002A5E62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động mạch thận 2 bên.</w:t>
      </w:r>
    </w:p>
    <w:p w14:paraId="203727F2" w14:textId="7584DE68" w:rsidR="002A5E62" w:rsidRPr="0072680B" w:rsidRDefault="002A5E62" w:rsidP="00D4017D">
      <w:pPr>
        <w:pStyle w:val="a0"/>
        <w:shd w:val="clear" w:color="auto" w:fill="auto"/>
        <w:spacing w:before="120" w:line="240" w:lineRule="auto"/>
        <w:ind w:firstLine="14"/>
        <w:jc w:val="both"/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  <w:t>- Ít gặp: Ban da, mề đay, ngứa, phù mạch, tăng enzym gan. Tăng kali huyết, đau cơ, đau khớp.</w:t>
      </w:r>
    </w:p>
    <w:p w14:paraId="322D2165" w14:textId="3E0BD014" w:rsidR="002A5E62" w:rsidRPr="0072680B" w:rsidRDefault="002A5E62" w:rsidP="00D4017D">
      <w:pPr>
        <w:pStyle w:val="a0"/>
        <w:shd w:val="clear" w:color="auto" w:fill="auto"/>
        <w:spacing w:before="120" w:line="240" w:lineRule="auto"/>
        <w:ind w:firstLine="14"/>
        <w:jc w:val="both"/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  <w:t xml:space="preserve">- Hiếm gặp: </w:t>
      </w:r>
      <w:r w:rsidR="002E65D8" w:rsidRPr="0072680B">
        <w:rPr>
          <w:rStyle w:val="a"/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Ho, rối loạn hô hấp, đau lưng, rối loạn tiêu hoá, mệt mỏi, giảm bạch cầu trung tính.</w:t>
      </w:r>
    </w:p>
    <w:p w14:paraId="0EC16AB1" w14:textId="0D52E9EC" w:rsidR="000507CF" w:rsidRPr="0072680B" w:rsidRDefault="0098018B" w:rsidP="000A53C6">
      <w:pPr>
        <w:spacing w:before="24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2680B">
        <w:rPr>
          <w:rFonts w:cs="Times New Roman"/>
          <w:b/>
          <w:color w:val="000000" w:themeColor="text1"/>
          <w:sz w:val="26"/>
          <w:szCs w:val="26"/>
          <w:u w:val="single"/>
        </w:rPr>
        <w:t>Đơn Giá</w:t>
      </w:r>
      <w:r w:rsidRPr="0072680B"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="00843099" w:rsidRPr="0072680B">
        <w:rPr>
          <w:rFonts w:cs="Times New Roman"/>
          <w:b/>
          <w:color w:val="000000" w:themeColor="text1"/>
          <w:sz w:val="26"/>
          <w:szCs w:val="26"/>
        </w:rPr>
        <w:t>3.500</w:t>
      </w:r>
      <w:r w:rsidRPr="0072680B">
        <w:rPr>
          <w:rFonts w:cs="Times New Roman"/>
          <w:b/>
          <w:color w:val="000000" w:themeColor="text1"/>
          <w:sz w:val="26"/>
          <w:szCs w:val="26"/>
        </w:rPr>
        <w:t xml:space="preserve"> đồng</w:t>
      </w:r>
      <w:r w:rsidR="00EC6EB9" w:rsidRPr="0072680B">
        <w:rPr>
          <w:rFonts w:cs="Times New Roman"/>
          <w:b/>
          <w:color w:val="000000" w:themeColor="text1"/>
          <w:sz w:val="26"/>
          <w:szCs w:val="26"/>
        </w:rPr>
        <w:t>/</w:t>
      </w:r>
      <w:r w:rsidRPr="0072680B">
        <w:rPr>
          <w:rFonts w:cs="Times New Roman"/>
          <w:b/>
          <w:color w:val="000000" w:themeColor="text1"/>
          <w:sz w:val="26"/>
          <w:szCs w:val="26"/>
        </w:rPr>
        <w:t xml:space="preserve"> viên</w:t>
      </w:r>
    </w:p>
    <w:p w14:paraId="2D26CD29" w14:textId="5AF179B7" w:rsidR="0098018B" w:rsidRPr="0072680B" w:rsidRDefault="008F3937" w:rsidP="008F3937">
      <w:pPr>
        <w:tabs>
          <w:tab w:val="center" w:pos="5411"/>
          <w:tab w:val="left" w:pos="6735"/>
        </w:tabs>
        <w:rPr>
          <w:rFonts w:cs="Times New Roman"/>
          <w:b/>
          <w:color w:val="000000" w:themeColor="text1"/>
          <w:sz w:val="26"/>
          <w:szCs w:val="26"/>
        </w:rPr>
      </w:pPr>
      <w:r w:rsidRPr="0072680B">
        <w:rPr>
          <w:rFonts w:cs="Times New Roman"/>
          <w:b/>
          <w:color w:val="000000" w:themeColor="text1"/>
          <w:sz w:val="26"/>
          <w:szCs w:val="26"/>
        </w:rPr>
        <w:tab/>
      </w:r>
      <w:r w:rsidR="00843099" w:rsidRPr="0072680B">
        <w:rPr>
          <w:rFonts w:cs="Times New Roman"/>
          <w:b/>
          <w:color w:val="000000" w:themeColor="text1"/>
          <w:sz w:val="26"/>
          <w:szCs w:val="26"/>
        </w:rPr>
        <w:t xml:space="preserve">                                                     </w:t>
      </w:r>
      <w:r w:rsidR="0098018B" w:rsidRPr="0072680B">
        <w:rPr>
          <w:rFonts w:cs="Times New Roman"/>
          <w:b/>
          <w:color w:val="000000" w:themeColor="text1"/>
          <w:sz w:val="26"/>
          <w:szCs w:val="26"/>
        </w:rPr>
        <w:t>DS</w:t>
      </w:r>
      <w:r w:rsidR="0072680B">
        <w:rPr>
          <w:rFonts w:cs="Times New Roman"/>
          <w:b/>
          <w:color w:val="000000" w:themeColor="text1"/>
          <w:sz w:val="26"/>
          <w:szCs w:val="26"/>
        </w:rPr>
        <w:t>.</w:t>
      </w:r>
      <w:r w:rsidR="00843099" w:rsidRPr="0072680B">
        <w:rPr>
          <w:rFonts w:cs="Times New Roman"/>
          <w:b/>
          <w:color w:val="000000" w:themeColor="text1"/>
          <w:sz w:val="26"/>
          <w:szCs w:val="26"/>
        </w:rPr>
        <w:t>Nguyễn Thị Hường</w:t>
      </w:r>
    </w:p>
    <w:sectPr w:rsidR="0098018B" w:rsidRPr="0072680B" w:rsidSect="00B26700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9CE"/>
    <w:multiLevelType w:val="multilevel"/>
    <w:tmpl w:val="56C09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C20DF"/>
    <w:multiLevelType w:val="multilevel"/>
    <w:tmpl w:val="8A14B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3EAD"/>
    <w:multiLevelType w:val="hybridMultilevel"/>
    <w:tmpl w:val="7F1821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87A55"/>
    <w:multiLevelType w:val="multilevel"/>
    <w:tmpl w:val="C9DA3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C39B9"/>
    <w:multiLevelType w:val="multilevel"/>
    <w:tmpl w:val="58A4E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0A9B"/>
    <w:multiLevelType w:val="multilevel"/>
    <w:tmpl w:val="15FA6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851CB"/>
    <w:multiLevelType w:val="multilevel"/>
    <w:tmpl w:val="2952B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E70B8"/>
    <w:multiLevelType w:val="multilevel"/>
    <w:tmpl w:val="02168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E4663"/>
    <w:multiLevelType w:val="hybridMultilevel"/>
    <w:tmpl w:val="2B5A6F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5636"/>
    <w:multiLevelType w:val="multilevel"/>
    <w:tmpl w:val="4C60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576C4"/>
    <w:multiLevelType w:val="multilevel"/>
    <w:tmpl w:val="3718E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455CC"/>
    <w:multiLevelType w:val="hybridMultilevel"/>
    <w:tmpl w:val="8EF825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0D8A"/>
    <w:multiLevelType w:val="hybridMultilevel"/>
    <w:tmpl w:val="65CEEAC6"/>
    <w:lvl w:ilvl="0" w:tplc="8DBAADC8"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3" w15:restartNumberingAfterBreak="0">
    <w:nsid w:val="515F5ED7"/>
    <w:multiLevelType w:val="multilevel"/>
    <w:tmpl w:val="59242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82397"/>
    <w:multiLevelType w:val="hybridMultilevel"/>
    <w:tmpl w:val="F16A22E6"/>
    <w:lvl w:ilvl="0" w:tplc="D0AE3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E2ACA"/>
    <w:multiLevelType w:val="hybridMultilevel"/>
    <w:tmpl w:val="083ADAAA"/>
    <w:lvl w:ilvl="0" w:tplc="4C9C5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61F2"/>
    <w:multiLevelType w:val="multilevel"/>
    <w:tmpl w:val="7522F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E6631"/>
    <w:multiLevelType w:val="multilevel"/>
    <w:tmpl w:val="41EE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02F00"/>
    <w:multiLevelType w:val="multilevel"/>
    <w:tmpl w:val="899A7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25F1C"/>
    <w:multiLevelType w:val="multilevel"/>
    <w:tmpl w:val="0298F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F5662"/>
    <w:multiLevelType w:val="multilevel"/>
    <w:tmpl w:val="58F2A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01C95"/>
    <w:multiLevelType w:val="hybridMultilevel"/>
    <w:tmpl w:val="8C40FF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76FDB"/>
    <w:multiLevelType w:val="multilevel"/>
    <w:tmpl w:val="EDC2B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500AA"/>
    <w:multiLevelType w:val="multilevel"/>
    <w:tmpl w:val="3028D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10DAD"/>
    <w:multiLevelType w:val="multilevel"/>
    <w:tmpl w:val="907A1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708991">
    <w:abstractNumId w:val="14"/>
  </w:num>
  <w:num w:numId="2" w16cid:durableId="726026374">
    <w:abstractNumId w:val="15"/>
  </w:num>
  <w:num w:numId="3" w16cid:durableId="828713757">
    <w:abstractNumId w:val="4"/>
  </w:num>
  <w:num w:numId="4" w16cid:durableId="1155029144">
    <w:abstractNumId w:val="3"/>
  </w:num>
  <w:num w:numId="5" w16cid:durableId="588586656">
    <w:abstractNumId w:val="22"/>
  </w:num>
  <w:num w:numId="6" w16cid:durableId="638076518">
    <w:abstractNumId w:val="9"/>
  </w:num>
  <w:num w:numId="7" w16cid:durableId="174660885">
    <w:abstractNumId w:val="6"/>
  </w:num>
  <w:num w:numId="8" w16cid:durableId="1893301954">
    <w:abstractNumId w:val="23"/>
  </w:num>
  <w:num w:numId="9" w16cid:durableId="172962598">
    <w:abstractNumId w:val="18"/>
  </w:num>
  <w:num w:numId="10" w16cid:durableId="752817413">
    <w:abstractNumId w:val="17"/>
  </w:num>
  <w:num w:numId="11" w16cid:durableId="225192805">
    <w:abstractNumId w:val="19"/>
  </w:num>
  <w:num w:numId="12" w16cid:durableId="1907566519">
    <w:abstractNumId w:val="0"/>
  </w:num>
  <w:num w:numId="13" w16cid:durableId="99956657">
    <w:abstractNumId w:val="20"/>
  </w:num>
  <w:num w:numId="14" w16cid:durableId="1899242191">
    <w:abstractNumId w:val="24"/>
  </w:num>
  <w:num w:numId="15" w16cid:durableId="1029797366">
    <w:abstractNumId w:val="5"/>
  </w:num>
  <w:num w:numId="16" w16cid:durableId="1607079773">
    <w:abstractNumId w:val="16"/>
  </w:num>
  <w:num w:numId="17" w16cid:durableId="758528330">
    <w:abstractNumId w:val="7"/>
  </w:num>
  <w:num w:numId="18" w16cid:durableId="306280973">
    <w:abstractNumId w:val="13"/>
  </w:num>
  <w:num w:numId="19" w16cid:durableId="694499893">
    <w:abstractNumId w:val="10"/>
  </w:num>
  <w:num w:numId="20" w16cid:durableId="1266383401">
    <w:abstractNumId w:val="8"/>
  </w:num>
  <w:num w:numId="21" w16cid:durableId="159929203">
    <w:abstractNumId w:val="21"/>
  </w:num>
  <w:num w:numId="22" w16cid:durableId="1548370777">
    <w:abstractNumId w:val="1"/>
  </w:num>
  <w:num w:numId="23" w16cid:durableId="454299513">
    <w:abstractNumId w:val="2"/>
  </w:num>
  <w:num w:numId="24" w16cid:durableId="1790857369">
    <w:abstractNumId w:val="11"/>
  </w:num>
  <w:num w:numId="25" w16cid:durableId="558592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5"/>
    <w:rsid w:val="00014D3D"/>
    <w:rsid w:val="0003262B"/>
    <w:rsid w:val="000507CF"/>
    <w:rsid w:val="000738C3"/>
    <w:rsid w:val="00073D86"/>
    <w:rsid w:val="000A53C6"/>
    <w:rsid w:val="000A7CBF"/>
    <w:rsid w:val="000B2A78"/>
    <w:rsid w:val="000E77FB"/>
    <w:rsid w:val="00105249"/>
    <w:rsid w:val="001065D0"/>
    <w:rsid w:val="001323CB"/>
    <w:rsid w:val="00184029"/>
    <w:rsid w:val="001A0E1A"/>
    <w:rsid w:val="001B23B4"/>
    <w:rsid w:val="001B793B"/>
    <w:rsid w:val="001C48E0"/>
    <w:rsid w:val="001D4665"/>
    <w:rsid w:val="001E4F71"/>
    <w:rsid w:val="00202E70"/>
    <w:rsid w:val="0020357B"/>
    <w:rsid w:val="002140C4"/>
    <w:rsid w:val="002155C0"/>
    <w:rsid w:val="00215862"/>
    <w:rsid w:val="00232B97"/>
    <w:rsid w:val="00252341"/>
    <w:rsid w:val="0027534D"/>
    <w:rsid w:val="00282922"/>
    <w:rsid w:val="002906D1"/>
    <w:rsid w:val="00297073"/>
    <w:rsid w:val="002A5E62"/>
    <w:rsid w:val="002C6641"/>
    <w:rsid w:val="002D669B"/>
    <w:rsid w:val="002E65D8"/>
    <w:rsid w:val="002F0947"/>
    <w:rsid w:val="00315BC6"/>
    <w:rsid w:val="0036044C"/>
    <w:rsid w:val="003623B3"/>
    <w:rsid w:val="00393FC5"/>
    <w:rsid w:val="003953AE"/>
    <w:rsid w:val="003A47D9"/>
    <w:rsid w:val="003D3A67"/>
    <w:rsid w:val="00405BA1"/>
    <w:rsid w:val="00425C90"/>
    <w:rsid w:val="0043325F"/>
    <w:rsid w:val="0044730F"/>
    <w:rsid w:val="00457F53"/>
    <w:rsid w:val="00473F73"/>
    <w:rsid w:val="00474826"/>
    <w:rsid w:val="0047716E"/>
    <w:rsid w:val="00477ABF"/>
    <w:rsid w:val="004B2F2A"/>
    <w:rsid w:val="004C7C1A"/>
    <w:rsid w:val="00505921"/>
    <w:rsid w:val="00510AC8"/>
    <w:rsid w:val="005433BF"/>
    <w:rsid w:val="005527A2"/>
    <w:rsid w:val="005547DC"/>
    <w:rsid w:val="005570D6"/>
    <w:rsid w:val="00573CA4"/>
    <w:rsid w:val="005743D9"/>
    <w:rsid w:val="00577612"/>
    <w:rsid w:val="005B22B2"/>
    <w:rsid w:val="005C4F17"/>
    <w:rsid w:val="005C5AC5"/>
    <w:rsid w:val="005D17AA"/>
    <w:rsid w:val="00603B58"/>
    <w:rsid w:val="00610387"/>
    <w:rsid w:val="00622136"/>
    <w:rsid w:val="00625849"/>
    <w:rsid w:val="006310D7"/>
    <w:rsid w:val="00633A7F"/>
    <w:rsid w:val="006346EC"/>
    <w:rsid w:val="006526BA"/>
    <w:rsid w:val="00667F0F"/>
    <w:rsid w:val="0068778D"/>
    <w:rsid w:val="006A1E4B"/>
    <w:rsid w:val="006F3DDE"/>
    <w:rsid w:val="006F4286"/>
    <w:rsid w:val="007020CB"/>
    <w:rsid w:val="00721F16"/>
    <w:rsid w:val="00722118"/>
    <w:rsid w:val="0072680B"/>
    <w:rsid w:val="00774441"/>
    <w:rsid w:val="00781DD0"/>
    <w:rsid w:val="00784A72"/>
    <w:rsid w:val="0078666E"/>
    <w:rsid w:val="00793CB9"/>
    <w:rsid w:val="007C2B94"/>
    <w:rsid w:val="007E5C60"/>
    <w:rsid w:val="007F161F"/>
    <w:rsid w:val="0080379D"/>
    <w:rsid w:val="0081398A"/>
    <w:rsid w:val="00833002"/>
    <w:rsid w:val="00843099"/>
    <w:rsid w:val="00867609"/>
    <w:rsid w:val="008A007E"/>
    <w:rsid w:val="008B09F2"/>
    <w:rsid w:val="008B49DA"/>
    <w:rsid w:val="008B7A13"/>
    <w:rsid w:val="008C2623"/>
    <w:rsid w:val="008D50C2"/>
    <w:rsid w:val="008F3937"/>
    <w:rsid w:val="00903421"/>
    <w:rsid w:val="00920A27"/>
    <w:rsid w:val="00936D90"/>
    <w:rsid w:val="00974815"/>
    <w:rsid w:val="0098018B"/>
    <w:rsid w:val="00994012"/>
    <w:rsid w:val="009C6172"/>
    <w:rsid w:val="00A023C1"/>
    <w:rsid w:val="00A06646"/>
    <w:rsid w:val="00A235C1"/>
    <w:rsid w:val="00A506EF"/>
    <w:rsid w:val="00A8041B"/>
    <w:rsid w:val="00AA425B"/>
    <w:rsid w:val="00AA5635"/>
    <w:rsid w:val="00AD01F2"/>
    <w:rsid w:val="00AD5BB6"/>
    <w:rsid w:val="00AD5EAF"/>
    <w:rsid w:val="00B1273A"/>
    <w:rsid w:val="00B26700"/>
    <w:rsid w:val="00B47AA3"/>
    <w:rsid w:val="00B91090"/>
    <w:rsid w:val="00B94286"/>
    <w:rsid w:val="00B95695"/>
    <w:rsid w:val="00BA3CBA"/>
    <w:rsid w:val="00BA6465"/>
    <w:rsid w:val="00BC25BF"/>
    <w:rsid w:val="00C07977"/>
    <w:rsid w:val="00C126FD"/>
    <w:rsid w:val="00C13C35"/>
    <w:rsid w:val="00C20E24"/>
    <w:rsid w:val="00C33A1F"/>
    <w:rsid w:val="00C5418F"/>
    <w:rsid w:val="00C55E7B"/>
    <w:rsid w:val="00C623B3"/>
    <w:rsid w:val="00C71E8F"/>
    <w:rsid w:val="00CA1325"/>
    <w:rsid w:val="00CE7039"/>
    <w:rsid w:val="00CF7848"/>
    <w:rsid w:val="00D111E6"/>
    <w:rsid w:val="00D12DF1"/>
    <w:rsid w:val="00D170CB"/>
    <w:rsid w:val="00D27B7D"/>
    <w:rsid w:val="00D35FB7"/>
    <w:rsid w:val="00D4017D"/>
    <w:rsid w:val="00D4502D"/>
    <w:rsid w:val="00D53068"/>
    <w:rsid w:val="00D55F3F"/>
    <w:rsid w:val="00D70741"/>
    <w:rsid w:val="00D84017"/>
    <w:rsid w:val="00D97B68"/>
    <w:rsid w:val="00DA3112"/>
    <w:rsid w:val="00DA3D77"/>
    <w:rsid w:val="00DB4174"/>
    <w:rsid w:val="00DB6869"/>
    <w:rsid w:val="00DD41DA"/>
    <w:rsid w:val="00DF174B"/>
    <w:rsid w:val="00DF5924"/>
    <w:rsid w:val="00E00A6D"/>
    <w:rsid w:val="00E03D11"/>
    <w:rsid w:val="00E06053"/>
    <w:rsid w:val="00E274D0"/>
    <w:rsid w:val="00E314C3"/>
    <w:rsid w:val="00E52C37"/>
    <w:rsid w:val="00E77E6D"/>
    <w:rsid w:val="00E83769"/>
    <w:rsid w:val="00EA29F5"/>
    <w:rsid w:val="00EA5F47"/>
    <w:rsid w:val="00EB1F73"/>
    <w:rsid w:val="00EB41F0"/>
    <w:rsid w:val="00EC0F4D"/>
    <w:rsid w:val="00EC176B"/>
    <w:rsid w:val="00EC2AE5"/>
    <w:rsid w:val="00EC6EB9"/>
    <w:rsid w:val="00EE3279"/>
    <w:rsid w:val="00EF51EC"/>
    <w:rsid w:val="00EF653A"/>
    <w:rsid w:val="00F06324"/>
    <w:rsid w:val="00F13294"/>
    <w:rsid w:val="00F43EFC"/>
    <w:rsid w:val="00F47880"/>
    <w:rsid w:val="00FB72C6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3DAC6"/>
  <w15:docId w15:val="{52374B59-5D40-4667-B45B-F6F3041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F5"/>
    <w:pPr>
      <w:ind w:left="720"/>
      <w:contextualSpacing/>
    </w:pPr>
  </w:style>
  <w:style w:type="table" w:styleId="TableGrid">
    <w:name w:val="Table Grid"/>
    <w:basedOn w:val="TableNormal"/>
    <w:uiPriority w:val="59"/>
    <w:rsid w:val="00D84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38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3A7F"/>
    <w:rPr>
      <w:color w:val="0000FF"/>
      <w:u w:val="single"/>
    </w:rPr>
  </w:style>
  <w:style w:type="character" w:customStyle="1" w:styleId="a">
    <w:name w:val="正文文本_"/>
    <w:basedOn w:val="DefaultParagraphFont"/>
    <w:link w:val="a0"/>
    <w:uiPriority w:val="99"/>
    <w:rsid w:val="0047716E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a0">
    <w:name w:val="正文文本"/>
    <w:basedOn w:val="Normal"/>
    <w:link w:val="a"/>
    <w:uiPriority w:val="99"/>
    <w:rsid w:val="0047716E"/>
    <w:pPr>
      <w:widowControl w:val="0"/>
      <w:shd w:val="clear" w:color="auto" w:fill="FFFFFF"/>
      <w:spacing w:after="0" w:line="283" w:lineRule="auto"/>
      <w:ind w:firstLine="20"/>
    </w:pPr>
    <w:rPr>
      <w:rFonts w:ascii="Arial" w:hAnsi="Arial" w:cs="Arial"/>
      <w:b/>
      <w:bCs/>
      <w:sz w:val="13"/>
      <w:szCs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DD4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7707-FBBC-4837-A25E-2F534571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Mastre_cm9x</dc:creator>
  <cp:lastModifiedBy>Nguyễn Thị Hường</cp:lastModifiedBy>
  <cp:revision>31</cp:revision>
  <cp:lastPrinted>2021-01-27T07:53:00Z</cp:lastPrinted>
  <dcterms:created xsi:type="dcterms:W3CDTF">2025-05-19T02:41:00Z</dcterms:created>
  <dcterms:modified xsi:type="dcterms:W3CDTF">2025-05-19T08:55:00Z</dcterms:modified>
</cp:coreProperties>
</file>