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8B85" w14:textId="166FFF5C" w:rsidR="00406EFE" w:rsidRPr="00CF1E6A" w:rsidRDefault="00406EFE" w:rsidP="00406EFE">
      <w:pPr>
        <w:rPr>
          <w:rFonts w:cs="Times New Roman"/>
          <w:b/>
          <w:sz w:val="24"/>
          <w:szCs w:val="24"/>
          <w:u w:val="single"/>
          <w:lang w:val="en-US"/>
        </w:rPr>
      </w:pPr>
      <w:r w:rsidRPr="00CF1E6A">
        <w:rPr>
          <w:rFonts w:cs="Times New Roman"/>
          <w:b/>
          <w:sz w:val="24"/>
          <w:szCs w:val="24"/>
          <w:u w:val="single"/>
        </w:rPr>
        <w:t xml:space="preserve">ĐƠN VỊ THÔNG TIN THUỐC BV PHCN -  THÁNG </w:t>
      </w:r>
      <w:r w:rsidR="00926D82">
        <w:rPr>
          <w:rFonts w:cs="Times New Roman"/>
          <w:b/>
          <w:sz w:val="24"/>
          <w:szCs w:val="24"/>
          <w:u w:val="single"/>
          <w:lang w:val="en-US"/>
        </w:rPr>
        <w:t>01/2026</w:t>
      </w:r>
    </w:p>
    <w:p w14:paraId="37646B46" w14:textId="77777777" w:rsidR="00406EFE" w:rsidRDefault="00406EFE" w:rsidP="00747039">
      <w:pPr>
        <w:jc w:val="center"/>
        <w:rPr>
          <w:b/>
          <w:sz w:val="40"/>
          <w:szCs w:val="40"/>
          <w:lang w:val="en-US"/>
        </w:rPr>
      </w:pPr>
    </w:p>
    <w:p w14:paraId="22741CF2" w14:textId="077FD1E0" w:rsidR="00146E91" w:rsidRDefault="005361C3" w:rsidP="00747039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NATRIXAM </w:t>
      </w:r>
    </w:p>
    <w:p w14:paraId="5B873273" w14:textId="3F3556B9" w:rsidR="00747039" w:rsidRPr="00747039" w:rsidRDefault="00140A32" w:rsidP="00747039">
      <w:pPr>
        <w:jc w:val="center"/>
        <w:rPr>
          <w:b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7C4CC2E2" wp14:editId="5487F4E9">
            <wp:extent cx="1999615" cy="1431098"/>
            <wp:effectExtent l="0" t="0" r="635" b="0"/>
            <wp:docPr id="1" name="Picture 1" descr="Natrixam 1.5mg/5mg - Thuốc biệt dược, công dụng , cách dùng - VN3-7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rixam 1.5mg/5mg - Thuốc biệt dược, công dụng , cách dùng - VN3-7-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08" cy="14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4E69" w14:textId="51BCFE54" w:rsidR="00D7218C" w:rsidRDefault="00D7218C" w:rsidP="009A1C56">
      <w:pPr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Thành phần:</w:t>
      </w:r>
    </w:p>
    <w:p w14:paraId="5A75C1F8" w14:textId="0764E3AA" w:rsidR="00C520D4" w:rsidRPr="00F2346B" w:rsidRDefault="009751BF" w:rsidP="009751BF">
      <w:pPr>
        <w:shd w:val="clear" w:color="auto" w:fill="FFFFFF"/>
        <w:spacing w:before="120"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670314" w:rsidRPr="00670314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Mỗi viên nén Natrixam 1,5mg/5mg chứa 1,5 mg indapamid và 5 mg amlodipin.</w:t>
      </w:r>
    </w:p>
    <w:p w14:paraId="25CE0576" w14:textId="1F742BB2" w:rsidR="00D7218C" w:rsidRDefault="009751BF" w:rsidP="009A1C56">
      <w:pPr>
        <w:spacing w:before="120" w:after="120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r w:rsidR="00D7218C">
        <w:rPr>
          <w:lang w:val="en-US"/>
        </w:rPr>
        <w:t>Tá dược</w:t>
      </w:r>
      <w:r>
        <w:rPr>
          <w:lang w:val="en-US"/>
        </w:rPr>
        <w:t xml:space="preserve"> ………………………………………..vđ 1 viên.</w:t>
      </w:r>
    </w:p>
    <w:p w14:paraId="6BB4483F" w14:textId="70EFD18C" w:rsidR="008A2B6B" w:rsidRDefault="00D7218C" w:rsidP="009A1C56">
      <w:pPr>
        <w:spacing w:before="120" w:after="120"/>
        <w:ind w:firstLine="720"/>
        <w:jc w:val="both"/>
        <w:rPr>
          <w:lang w:val="en-US"/>
        </w:rPr>
      </w:pPr>
      <w:r>
        <w:rPr>
          <w:lang w:val="en-US"/>
        </w:rPr>
        <w:t xml:space="preserve">Dạng bào chế: Viên </w:t>
      </w:r>
      <w:r w:rsidR="00227842">
        <w:rPr>
          <w:lang w:val="en-US"/>
        </w:rPr>
        <w:t xml:space="preserve">nén giải phóng </w:t>
      </w:r>
      <w:r w:rsidR="002770BD">
        <w:rPr>
          <w:lang w:val="en-US"/>
        </w:rPr>
        <w:t>kiểm soát</w:t>
      </w:r>
    </w:p>
    <w:p w14:paraId="0808832B" w14:textId="77777777" w:rsidR="00CA7349" w:rsidRPr="00747039" w:rsidRDefault="00CA7349" w:rsidP="009A1C56">
      <w:pPr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Chỉ định:</w:t>
      </w:r>
    </w:p>
    <w:p w14:paraId="1D8415C6" w14:textId="06BEB0C3" w:rsidR="008A2B6B" w:rsidRPr="00D12125" w:rsidRDefault="00D12125" w:rsidP="009A1C56">
      <w:pPr>
        <w:spacing w:before="120" w:after="120"/>
        <w:ind w:firstLine="720"/>
        <w:jc w:val="both"/>
        <w:rPr>
          <w:lang w:val="en-US"/>
        </w:rPr>
      </w:pPr>
      <w:r>
        <w:rPr>
          <w:lang w:val="en-US"/>
        </w:rPr>
        <w:t xml:space="preserve">- </w:t>
      </w:r>
      <w:r w:rsidR="004A438B" w:rsidRPr="00D12125">
        <w:rPr>
          <w:lang w:val="en-US"/>
        </w:rPr>
        <w:t>Na</w:t>
      </w:r>
      <w:r w:rsidR="00427505" w:rsidRPr="00D12125">
        <w:rPr>
          <w:lang w:val="en-US"/>
        </w:rPr>
        <w:t>tr</w:t>
      </w:r>
      <w:r w:rsidR="004A438B" w:rsidRPr="00D12125">
        <w:rPr>
          <w:lang w:val="en-US"/>
        </w:rPr>
        <w:t>i</w:t>
      </w:r>
      <w:r w:rsidR="00427505" w:rsidRPr="00D12125">
        <w:rPr>
          <w:lang w:val="en-US"/>
        </w:rPr>
        <w:t>x</w:t>
      </w:r>
      <w:r w:rsidR="004A438B" w:rsidRPr="00D12125">
        <w:rPr>
          <w:lang w:val="en-US"/>
        </w:rPr>
        <w:t xml:space="preserve">am được chỉ định thay thế </w:t>
      </w:r>
      <w:r w:rsidR="003D651F" w:rsidRPr="00D12125">
        <w:rPr>
          <w:lang w:val="en-US"/>
        </w:rPr>
        <w:t xml:space="preserve">trong </w:t>
      </w:r>
      <w:r w:rsidR="004A438B" w:rsidRPr="00D12125">
        <w:rPr>
          <w:lang w:val="en-US"/>
        </w:rPr>
        <w:t xml:space="preserve"> điều trị tăng huyết áp </w:t>
      </w:r>
      <w:r w:rsidR="003D651F" w:rsidRPr="00D12125">
        <w:rPr>
          <w:lang w:val="en-US"/>
        </w:rPr>
        <w:t xml:space="preserve">cho bệnh nhân đã dùng indapamid và amlodipin riêng rẽ </w:t>
      </w:r>
      <w:r w:rsidR="00FF73AC" w:rsidRPr="00D12125">
        <w:rPr>
          <w:lang w:val="en-US"/>
        </w:rPr>
        <w:t>có cùng hàm lượng</w:t>
      </w:r>
      <w:r w:rsidR="00427505" w:rsidRPr="00D12125">
        <w:rPr>
          <w:lang w:val="en-US"/>
        </w:rPr>
        <w:t>.</w:t>
      </w:r>
    </w:p>
    <w:p w14:paraId="6F440799" w14:textId="5C03D28D" w:rsidR="00FD1499" w:rsidRDefault="00FD1499" w:rsidP="009A1C56">
      <w:pPr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Liều lượng và cách dùng:</w:t>
      </w:r>
    </w:p>
    <w:p w14:paraId="4AF30C58" w14:textId="40DAA253" w:rsidR="00B26188" w:rsidRPr="00B26188" w:rsidRDefault="00F72E70" w:rsidP="009A1C56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B26188" w:rsidRPr="00B26188">
        <w:rPr>
          <w:color w:val="000000" w:themeColor="text1"/>
          <w:sz w:val="28"/>
          <w:szCs w:val="28"/>
        </w:rPr>
        <w:t xml:space="preserve">Uống mỗi lần một viên, một lần mỗi ngày, nên dùng thuốc vào buổi sáng. Uống </w:t>
      </w:r>
      <w:r w:rsidR="003F1445">
        <w:rPr>
          <w:color w:val="000000" w:themeColor="text1"/>
          <w:sz w:val="28"/>
          <w:szCs w:val="28"/>
          <w:lang w:val="en-US"/>
        </w:rPr>
        <w:t xml:space="preserve">viên nén </w:t>
      </w:r>
      <w:r w:rsidR="00B26188" w:rsidRPr="00B26188">
        <w:rPr>
          <w:color w:val="000000" w:themeColor="text1"/>
          <w:sz w:val="28"/>
          <w:szCs w:val="28"/>
        </w:rPr>
        <w:t>nguyên vẹn với nước, không nhai thuốc.</w:t>
      </w:r>
    </w:p>
    <w:p w14:paraId="692D7863" w14:textId="77F63C4A" w:rsidR="00B26188" w:rsidRPr="00B26188" w:rsidRDefault="00F72E70" w:rsidP="009A1C56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B26188" w:rsidRPr="00B26188">
        <w:rPr>
          <w:color w:val="000000" w:themeColor="text1"/>
          <w:sz w:val="28"/>
          <w:szCs w:val="28"/>
        </w:rPr>
        <w:t xml:space="preserve">Dạng phối hợp liều cố định không phù hợp với điều trị ban đầu. Chỉ dùng cho </w:t>
      </w:r>
      <w:r>
        <w:rPr>
          <w:color w:val="000000" w:themeColor="text1"/>
          <w:sz w:val="28"/>
          <w:szCs w:val="28"/>
          <w:lang w:val="en-US"/>
        </w:rPr>
        <w:t>bệnh nhân</w:t>
      </w:r>
      <w:r w:rsidR="00B26188" w:rsidRPr="00B26188">
        <w:rPr>
          <w:color w:val="000000" w:themeColor="text1"/>
          <w:sz w:val="28"/>
          <w:szCs w:val="28"/>
        </w:rPr>
        <w:t xml:space="preserve"> đã dùng indapamid và amlodipin riêng rẽ có cùng hàm lượng.</w:t>
      </w:r>
    </w:p>
    <w:p w14:paraId="107067CD" w14:textId="445FFA3A" w:rsidR="00B26188" w:rsidRPr="00B26188" w:rsidRDefault="00F72E70" w:rsidP="009A1C56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B26188" w:rsidRPr="00B26188">
        <w:rPr>
          <w:color w:val="000000" w:themeColor="text1"/>
          <w:sz w:val="28"/>
          <w:szCs w:val="28"/>
        </w:rPr>
        <w:t>Nếu cần phải hiệu chỉnh liều, nên chỉnh liều trên từng thành phần bằng cách dùng phối hợp các viên đơn thành phần.</w:t>
      </w:r>
    </w:p>
    <w:p w14:paraId="71D1BA83" w14:textId="332A6250" w:rsidR="00AC658F" w:rsidRPr="00AC658F" w:rsidRDefault="00F72E70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Người suy thận:</w:t>
      </w:r>
    </w:p>
    <w:p w14:paraId="15ED3A9D" w14:textId="1B0D5C09" w:rsidR="00AC658F" w:rsidRPr="00AC658F" w:rsidRDefault="00F72E70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lang w:val="en-US"/>
        </w:rPr>
        <w:t xml:space="preserve">+ </w:t>
      </w:r>
      <w:hyperlink r:id="rId7" w:history="1">
        <w:r w:rsidR="00AC658F" w:rsidRPr="00AC658F">
          <w:rPr>
            <w:rFonts w:asciiTheme="majorHAnsi" w:eastAsia="Times New Roman" w:hAnsiTheme="majorHAnsi" w:cstheme="majorHAnsi"/>
            <w:color w:val="000000" w:themeColor="text1"/>
            <w:szCs w:val="28"/>
            <w:lang w:eastAsia="vi-VN"/>
          </w:rPr>
          <w:t>Suy thận</w:t>
        </w:r>
      </w:hyperlink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 nặng (độ thanh thải creatinin dưới 30ml/phút), chống chỉ định điều trị b</w:t>
      </w:r>
      <w:r w:rsidR="005B7F12"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>ằng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Natrixam.</w:t>
      </w:r>
    </w:p>
    <w:p w14:paraId="48EE58CD" w14:textId="772A943B" w:rsidR="00AC658F" w:rsidRPr="00AC658F" w:rsidRDefault="005B7F12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+ 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Suy thận mức độ nhẹ đến trung bình: không cần hiệu chỉnh liều.</w:t>
      </w:r>
    </w:p>
    <w:p w14:paraId="7AD17A0D" w14:textId="47F5B533" w:rsidR="00AC658F" w:rsidRPr="00AC658F" w:rsidRDefault="005B7F12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Người cao tuổi: Có thể được điều trị bằng Natrixam tùy theo chức năng thận.</w:t>
      </w:r>
    </w:p>
    <w:p w14:paraId="51442CCC" w14:textId="4FBB4E2E" w:rsidR="00AC658F" w:rsidRPr="00AC658F" w:rsidRDefault="005B7F12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Người suy gan:</w:t>
      </w:r>
    </w:p>
    <w:p w14:paraId="3F77737D" w14:textId="1CD5C0C6" w:rsidR="00AC658F" w:rsidRPr="00AC658F" w:rsidRDefault="005B7F12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+ 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Suy gan nặng: chống chỉ định dùng Natrixam.</w:t>
      </w:r>
    </w:p>
    <w:p w14:paraId="19B149EF" w14:textId="63637836" w:rsidR="00B26188" w:rsidRPr="00AC658F" w:rsidRDefault="005B7F12" w:rsidP="00AC2B22">
      <w:pPr>
        <w:shd w:val="clear" w:color="auto" w:fill="FFFFFF"/>
        <w:spacing w:before="120" w:after="120"/>
        <w:ind w:firstLine="360"/>
        <w:jc w:val="both"/>
        <w:rPr>
          <w:rFonts w:asciiTheme="majorHAnsi" w:hAnsiTheme="majorHAnsi" w:cstheme="majorHAnsi"/>
          <w:b/>
          <w:color w:val="000000" w:themeColor="text1"/>
          <w:szCs w:val="28"/>
          <w:lang w:val="en-US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+ </w:t>
      </w:r>
      <w:r w:rsidR="00AC658F" w:rsidRPr="00AC658F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Suy gan mức độ nhẹ đến trung bình: chưa có liều khuyến cáo của amlodipin. Cần thận trọng khi lựa chọn liều, khi bắt đầu điều trị cũng như khi tăng liều. Cần khởi trị ở liều thấp nhất của khoảng liều cho phép.</w:t>
      </w:r>
    </w:p>
    <w:p w14:paraId="1D4E72BC" w14:textId="7816B24E" w:rsidR="00FD1499" w:rsidRDefault="00FD1499" w:rsidP="009A1C56">
      <w:pPr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Chống chỉ định:</w:t>
      </w:r>
    </w:p>
    <w:p w14:paraId="211B2D18" w14:textId="78DC2DE5" w:rsidR="00B77F65" w:rsidRPr="00B77F65" w:rsidRDefault="00D12125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Mẫn cảm với bất cứ thành phần nào của thuốc, với các thuốc sulfonamid khác, với các dẫn chất dihydropyridin hoặc với bất cứ tá dược nào.</w:t>
      </w:r>
    </w:p>
    <w:p w14:paraId="2A9DB5AE" w14:textId="067D9A23" w:rsidR="00B77F65" w:rsidRPr="00B77F65" w:rsidRDefault="00D12125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Suy thận nặng (độ thanh thải creatinin dưới 30ml/phút).</w:t>
      </w:r>
    </w:p>
    <w:p w14:paraId="7F4FA461" w14:textId="54593786" w:rsidR="00B77F65" w:rsidRPr="00B77F65" w:rsidRDefault="00D12125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lastRenderedPageBreak/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Suy gan nặng hoặc bệnh não do gan gây ra.</w:t>
      </w:r>
    </w:p>
    <w:p w14:paraId="2D622B14" w14:textId="11ECB8CB" w:rsidR="00B77F65" w:rsidRPr="00B77F65" w:rsidRDefault="007E2080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Nồng độ kali trong máu thấp.</w:t>
      </w:r>
    </w:p>
    <w:p w14:paraId="2A1B7243" w14:textId="00EB41EA" w:rsidR="00B77F65" w:rsidRPr="00B77F65" w:rsidRDefault="007E2080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Phụ nữ đang cho con bú.</w:t>
      </w:r>
    </w:p>
    <w:p w14:paraId="79FB3F91" w14:textId="7A2A995F" w:rsidR="00B77F65" w:rsidRPr="00B77F65" w:rsidRDefault="007E2080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lang w:val="en-US"/>
        </w:rPr>
        <w:t xml:space="preserve">- </w:t>
      </w:r>
      <w:hyperlink r:id="rId8" w:tgtFrame="_blank" w:history="1">
        <w:r w:rsidR="00B77F65" w:rsidRPr="000B6040">
          <w:rPr>
            <w:rFonts w:asciiTheme="majorHAnsi" w:eastAsia="Times New Roman" w:hAnsiTheme="majorHAnsi" w:cstheme="majorHAnsi"/>
            <w:color w:val="000000" w:themeColor="text1"/>
            <w:szCs w:val="28"/>
            <w:lang w:eastAsia="vi-VN"/>
          </w:rPr>
          <w:t>Hạ huyết áp</w:t>
        </w:r>
      </w:hyperlink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 nghiêm trọng.</w:t>
      </w:r>
    </w:p>
    <w:p w14:paraId="36C2859A" w14:textId="6E694D7D" w:rsidR="00B77F65" w:rsidRPr="00B77F65" w:rsidRDefault="00E54CA4" w:rsidP="009A1C56">
      <w:pPr>
        <w:shd w:val="clear" w:color="auto" w:fill="FFFFFF"/>
        <w:spacing w:before="120" w:after="120"/>
        <w:ind w:left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Sốc (bao gồm cả sốc tim).</w:t>
      </w:r>
    </w:p>
    <w:p w14:paraId="5F8C3C63" w14:textId="6003A506" w:rsidR="00B77F65" w:rsidRPr="00B77F65" w:rsidRDefault="00D34318" w:rsidP="009A1C56">
      <w:pPr>
        <w:shd w:val="clear" w:color="auto" w:fill="FFFFFF"/>
        <w:spacing w:before="120" w:after="120"/>
        <w:ind w:firstLine="360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en-US" w:eastAsia="vi-VN"/>
        </w:rPr>
        <w:t xml:space="preserve">- 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Tắc nghẽn đường ra của tâm thất trái (như hẹp động mạch chủ mức độ nặng).</w:t>
      </w:r>
    </w:p>
    <w:p w14:paraId="19C35C57" w14:textId="4462F6C5" w:rsidR="00292976" w:rsidRPr="00747039" w:rsidRDefault="00D34318" w:rsidP="00DB590B">
      <w:pPr>
        <w:shd w:val="clear" w:color="auto" w:fill="FFFFFF"/>
        <w:spacing w:before="120" w:after="120"/>
        <w:ind w:firstLine="360"/>
        <w:jc w:val="both"/>
        <w:rPr>
          <w:b/>
          <w:lang w:val="en-US"/>
        </w:rPr>
      </w:pPr>
      <w:r>
        <w:rPr>
          <w:lang w:val="en-US"/>
        </w:rPr>
        <w:t xml:space="preserve">- </w:t>
      </w:r>
      <w:hyperlink r:id="rId9" w:tgtFrame="_blank" w:history="1">
        <w:r w:rsidR="00B77F65" w:rsidRPr="000B6040">
          <w:rPr>
            <w:rFonts w:asciiTheme="majorHAnsi" w:eastAsia="Times New Roman" w:hAnsiTheme="majorHAnsi" w:cstheme="majorHAnsi"/>
            <w:color w:val="000000" w:themeColor="text1"/>
            <w:szCs w:val="28"/>
            <w:lang w:eastAsia="vi-VN"/>
          </w:rPr>
          <w:t>Suy tim</w:t>
        </w:r>
      </w:hyperlink>
      <w:r w:rsidR="00B77F65" w:rsidRPr="000B6040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 </w:t>
      </w:r>
      <w:r w:rsidR="00B77F65" w:rsidRPr="00B77F65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có huyết động không ổn định sau nhồi máu cơ tim cấp.</w:t>
      </w:r>
    </w:p>
    <w:p w14:paraId="703C9FAE" w14:textId="23A1B158" w:rsidR="00A033F0" w:rsidRDefault="00CA7349" w:rsidP="009A1C56">
      <w:pPr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Tương tác thuốc:</w:t>
      </w:r>
    </w:p>
    <w:p w14:paraId="0D0FE305" w14:textId="1B243298" w:rsidR="001A1000" w:rsidRPr="00EE3009" w:rsidRDefault="000D653A" w:rsidP="009A1C56">
      <w:pPr>
        <w:pStyle w:val="ListParagraph"/>
        <w:numPr>
          <w:ilvl w:val="0"/>
          <w:numId w:val="8"/>
        </w:numPr>
        <w:spacing w:before="120" w:after="120"/>
        <w:jc w:val="both"/>
        <w:rPr>
          <w:bCs/>
          <w:lang w:val="en-US"/>
        </w:rPr>
      </w:pPr>
      <w:r w:rsidRPr="00EE3009">
        <w:rPr>
          <w:bCs/>
          <w:lang w:val="en-US"/>
        </w:rPr>
        <w:t xml:space="preserve">Liên quan đến indapamid: </w:t>
      </w:r>
    </w:p>
    <w:p w14:paraId="3F308EFB" w14:textId="3FA17A29" w:rsidR="000D653A" w:rsidRDefault="00EE3009" w:rsidP="009A1C56">
      <w:pPr>
        <w:spacing w:before="120" w:after="120"/>
        <w:ind w:left="720"/>
        <w:jc w:val="both"/>
        <w:rPr>
          <w:bCs/>
          <w:lang w:val="en-US"/>
        </w:rPr>
      </w:pPr>
      <w:r>
        <w:rPr>
          <w:bCs/>
          <w:lang w:val="en-US"/>
        </w:rPr>
        <w:t xml:space="preserve">- </w:t>
      </w:r>
      <w:r w:rsidR="000D653A">
        <w:rPr>
          <w:bCs/>
          <w:lang w:val="en-US"/>
        </w:rPr>
        <w:t>Phối hợp không được khuyến cáo: Lithi</w:t>
      </w:r>
    </w:p>
    <w:p w14:paraId="71F8A8A6" w14:textId="1F089AB1" w:rsidR="000B1BA0" w:rsidRDefault="00232D53" w:rsidP="009A1C56">
      <w:p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ab/>
      </w:r>
      <w:r w:rsidR="00EE3009">
        <w:rPr>
          <w:bCs/>
          <w:lang w:val="en-US"/>
        </w:rPr>
        <w:t xml:space="preserve">- </w:t>
      </w:r>
      <w:r>
        <w:rPr>
          <w:bCs/>
          <w:lang w:val="en-US"/>
        </w:rPr>
        <w:t xml:space="preserve"> </w:t>
      </w:r>
      <w:r w:rsidR="007B757B">
        <w:rPr>
          <w:bCs/>
          <w:lang w:val="en-US"/>
        </w:rPr>
        <w:t xml:space="preserve">Phối hợp cần thận trọng: Thuốc gây hiện tượng xoắn đỉnh </w:t>
      </w:r>
    </w:p>
    <w:p w14:paraId="54960537" w14:textId="282328C8" w:rsidR="00232D53" w:rsidRDefault="00EE3009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</w:t>
      </w:r>
      <w:r w:rsidR="000B1BA0">
        <w:rPr>
          <w:bCs/>
          <w:lang w:val="en-US"/>
        </w:rPr>
        <w:t>T</w:t>
      </w:r>
      <w:r w:rsidR="007B757B">
        <w:rPr>
          <w:bCs/>
          <w:lang w:val="en-US"/>
        </w:rPr>
        <w:t>huốc chống loạn nhịp nhóm Ia như</w:t>
      </w:r>
      <w:r w:rsidR="000B1BA0">
        <w:rPr>
          <w:bCs/>
          <w:lang w:val="en-US"/>
        </w:rPr>
        <w:t>:</w:t>
      </w:r>
      <w:r w:rsidR="007B757B">
        <w:rPr>
          <w:bCs/>
          <w:lang w:val="en-US"/>
        </w:rPr>
        <w:t xml:space="preserve"> quinidin</w:t>
      </w:r>
      <w:r w:rsidR="000B1BA0">
        <w:rPr>
          <w:bCs/>
          <w:lang w:val="en-US"/>
        </w:rPr>
        <w:t>, hydroquinidin, disopyramid</w:t>
      </w:r>
    </w:p>
    <w:p w14:paraId="380A491D" w14:textId="67E04823" w:rsidR="000B1BA0" w:rsidRDefault="00EE3009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</w:t>
      </w:r>
      <w:r w:rsidR="00086893">
        <w:rPr>
          <w:bCs/>
          <w:lang w:val="en-US"/>
        </w:rPr>
        <w:t>Thuốc chống loạn nhịp nhóm III như: amiodaron, sotalol, dofeti</w:t>
      </w:r>
      <w:r>
        <w:rPr>
          <w:bCs/>
          <w:lang w:val="en-US"/>
        </w:rPr>
        <w:t>lid, ibutilid.</w:t>
      </w:r>
    </w:p>
    <w:p w14:paraId="0F4FC9FA" w14:textId="2DF378AB" w:rsidR="00EE3009" w:rsidRDefault="00EE3009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+Một số thuốc chống loạn thần</w:t>
      </w:r>
      <w:r w:rsidR="007B0BF3">
        <w:rPr>
          <w:bCs/>
          <w:lang w:val="en-US"/>
        </w:rPr>
        <w:t>: Các thuốc nhóm phenothiazin như: Chlopromazin, cyamemazin</w:t>
      </w:r>
      <w:r w:rsidR="00D7590F">
        <w:rPr>
          <w:bCs/>
          <w:lang w:val="en-US"/>
        </w:rPr>
        <w:t xml:space="preserve">, levomepromazin, thioridazin. Các thuốc nhóm benzamid như: </w:t>
      </w:r>
      <w:r w:rsidR="00D76616">
        <w:rPr>
          <w:bCs/>
          <w:lang w:val="en-US"/>
        </w:rPr>
        <w:t>amisulprid, sulpirid, tiaprid.</w:t>
      </w:r>
    </w:p>
    <w:p w14:paraId="0747FA0C" w14:textId="4C87C195" w:rsidR="00D76616" w:rsidRDefault="00D76616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 Tăng nguy cơ loạn nhịp thất, đặc biệt là xoắn đỉnh (giảm kali huyết</w:t>
      </w:r>
      <w:r w:rsidR="00365A53">
        <w:rPr>
          <w:bCs/>
          <w:lang w:val="en-US"/>
        </w:rPr>
        <w:t xml:space="preserve"> là một yếu tố nguy cơ). Cần kiểm soát sự giảm kali huyết và điều chỉnh nếu cần thiết trước khi sử dụng dạng phối hợp này.</w:t>
      </w:r>
    </w:p>
    <w:p w14:paraId="09218154" w14:textId="1E986FF1" w:rsidR="00155990" w:rsidRDefault="00155990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+ Các thuốc chống viêm phi steroid (NSAID) đường dùng toàn thân bao gồm các thuốc ức chế chọn lọc COX -2, acetyl salicylic liều cao &gt; </w:t>
      </w:r>
      <w:r w:rsidR="00C50B8D">
        <w:rPr>
          <w:bCs/>
          <w:lang w:val="en-US"/>
        </w:rPr>
        <w:t>3 g/ngày.</w:t>
      </w:r>
    </w:p>
    <w:p w14:paraId="208817A2" w14:textId="21F6A6E0" w:rsidR="00C50B8D" w:rsidRDefault="00C50B8D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+ Các thuốc ức chế enzym chuyển angiotensin: </w:t>
      </w:r>
      <w:r w:rsidR="00891114">
        <w:rPr>
          <w:bCs/>
          <w:lang w:val="en-US"/>
        </w:rPr>
        <w:t xml:space="preserve">Nguy cơ hạ huyết áp đột ngột và/hoặc suy thận cấp khi điều trị bằng một thuốc ức chế enzym chuyển xuất hiện </w:t>
      </w:r>
      <w:r w:rsidR="00D71B0F">
        <w:rPr>
          <w:bCs/>
          <w:lang w:val="en-US"/>
        </w:rPr>
        <w:t>khi bệnh nhân đang có tình trạng mất natri</w:t>
      </w:r>
    </w:p>
    <w:p w14:paraId="78726E09" w14:textId="558A604F" w:rsidR="00D71B0F" w:rsidRDefault="00D71B0F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 Các thuốc khác gây hạ kali: amphotericin B (đường tĩnh mạch), gluco</w:t>
      </w:r>
      <w:r w:rsidR="00D6757A">
        <w:rPr>
          <w:bCs/>
          <w:lang w:val="en-US"/>
        </w:rPr>
        <w:t xml:space="preserve"> và mineral – corticoid (dùng đường toàn thân), tetracosactid, thuốc nhuận tràng kích thích</w:t>
      </w:r>
      <w:r w:rsidR="007F41CB">
        <w:rPr>
          <w:bCs/>
          <w:lang w:val="en-US"/>
        </w:rPr>
        <w:t>: tăng nguy cơ hạ kali huyết.</w:t>
      </w:r>
    </w:p>
    <w:p w14:paraId="13FD5EEC" w14:textId="45464CD3" w:rsidR="007F41CB" w:rsidRDefault="007F41CB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 xml:space="preserve">+ </w:t>
      </w:r>
      <w:r w:rsidR="00071DAF">
        <w:rPr>
          <w:bCs/>
          <w:lang w:val="en-US"/>
        </w:rPr>
        <w:t>Thuốc nhóm digitalis</w:t>
      </w:r>
      <w:r w:rsidR="009B14EF">
        <w:rPr>
          <w:bCs/>
          <w:lang w:val="en-US"/>
        </w:rPr>
        <w:t xml:space="preserve">: Hạ kali huyết </w:t>
      </w:r>
      <w:r w:rsidR="003A109A">
        <w:rPr>
          <w:bCs/>
          <w:lang w:val="en-US"/>
        </w:rPr>
        <w:t>dẫn tới các tác dụng độc của nhóm digitalis</w:t>
      </w:r>
      <w:r w:rsidR="00652B0D">
        <w:rPr>
          <w:bCs/>
          <w:lang w:val="en-US"/>
        </w:rPr>
        <w:t>.</w:t>
      </w:r>
    </w:p>
    <w:p w14:paraId="559760D0" w14:textId="057EAA20" w:rsidR="00071DAF" w:rsidRDefault="00071DAF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 Baclofen: Tăng hiệu quả chống tăng huyết áp</w:t>
      </w:r>
    </w:p>
    <w:p w14:paraId="79831BE0" w14:textId="0D1D4547" w:rsidR="00652B0D" w:rsidRDefault="00652B0D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 Allopurinol: Điều trị đồng thời với indapamid có thể tăng nguy cơ phản ứng mẫn cảm với allopurinol.</w:t>
      </w:r>
    </w:p>
    <w:p w14:paraId="152AF781" w14:textId="3A50B816" w:rsidR="00652B0D" w:rsidRDefault="00652B0D" w:rsidP="009A1C56">
      <w:pPr>
        <w:pStyle w:val="ListParagraph"/>
        <w:numPr>
          <w:ilvl w:val="0"/>
          <w:numId w:val="8"/>
        </w:num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>Liên quan đến amlodipin:</w:t>
      </w:r>
    </w:p>
    <w:p w14:paraId="7C56A1DA" w14:textId="776279B8" w:rsidR="00652B0D" w:rsidRDefault="00652B0D" w:rsidP="009A1C56">
      <w:pPr>
        <w:spacing w:before="120" w:after="120"/>
        <w:ind w:left="360"/>
        <w:jc w:val="both"/>
        <w:rPr>
          <w:bCs/>
          <w:lang w:val="en-US"/>
        </w:rPr>
      </w:pPr>
      <w:r>
        <w:rPr>
          <w:bCs/>
          <w:lang w:val="en-US"/>
        </w:rPr>
        <w:t xml:space="preserve">- </w:t>
      </w:r>
      <w:r w:rsidR="00C5248F">
        <w:rPr>
          <w:bCs/>
          <w:lang w:val="en-US"/>
        </w:rPr>
        <w:t xml:space="preserve">Dantrolen (dạng truyền): Khuyến cáo tránh dùng đồng thời </w:t>
      </w:r>
      <w:r w:rsidR="000926FD">
        <w:rPr>
          <w:bCs/>
          <w:lang w:val="en-US"/>
        </w:rPr>
        <w:t xml:space="preserve">thuốc chẹn kênh calci </w:t>
      </w:r>
      <w:r w:rsidR="00A511B2">
        <w:rPr>
          <w:bCs/>
          <w:lang w:val="en-US"/>
        </w:rPr>
        <w:t xml:space="preserve">như amlodipin với Dantrolen trên bệnh nhân có khả năng tăng thân nhiệt ác tính và trong điều trị tăng </w:t>
      </w:r>
      <w:r w:rsidR="008A294D">
        <w:rPr>
          <w:bCs/>
          <w:lang w:val="en-US"/>
        </w:rPr>
        <w:t>thân nhiệt ác tính.</w:t>
      </w:r>
    </w:p>
    <w:p w14:paraId="3122413D" w14:textId="322AC02D" w:rsidR="008A294D" w:rsidRDefault="008A294D" w:rsidP="009A1C56">
      <w:pPr>
        <w:spacing w:before="120" w:after="120"/>
        <w:ind w:left="360"/>
        <w:jc w:val="both"/>
        <w:rPr>
          <w:bCs/>
          <w:lang w:val="en-US"/>
        </w:rPr>
      </w:pPr>
      <w:r>
        <w:rPr>
          <w:bCs/>
          <w:lang w:val="en-US"/>
        </w:rPr>
        <w:t>- Các thuốc ức chế CYP3A4</w:t>
      </w:r>
      <w:r w:rsidR="00084BFE">
        <w:rPr>
          <w:bCs/>
          <w:lang w:val="en-US"/>
        </w:rPr>
        <w:t xml:space="preserve">: Sử dụng </w:t>
      </w:r>
      <w:r w:rsidR="002E17C3">
        <w:rPr>
          <w:bCs/>
          <w:lang w:val="en-US"/>
        </w:rPr>
        <w:t>đồng thời amlodipin với các thuốc ức chế mạnh hoặc trung bình CYP3A4</w:t>
      </w:r>
      <w:r w:rsidR="0085467E">
        <w:rPr>
          <w:bCs/>
          <w:lang w:val="en-US"/>
        </w:rPr>
        <w:t xml:space="preserve"> có thể làm tăng đáng kể nồng độ amlodipin trong tuần hoàn.</w:t>
      </w:r>
    </w:p>
    <w:p w14:paraId="5E1E9FE0" w14:textId="36F77322" w:rsidR="00652B0D" w:rsidRPr="00652B0D" w:rsidRDefault="008A294D" w:rsidP="00DB590B">
      <w:pPr>
        <w:spacing w:before="120" w:after="120"/>
        <w:ind w:left="360"/>
        <w:jc w:val="both"/>
        <w:rPr>
          <w:bCs/>
          <w:lang w:val="en-US"/>
        </w:rPr>
      </w:pPr>
      <w:r>
        <w:rPr>
          <w:bCs/>
          <w:lang w:val="en-US"/>
        </w:rPr>
        <w:lastRenderedPageBreak/>
        <w:t xml:space="preserve">- Các thuốc gây cảm ứng CYP3A4: </w:t>
      </w:r>
      <w:r w:rsidR="0065226B">
        <w:rPr>
          <w:bCs/>
          <w:lang w:val="en-US"/>
        </w:rPr>
        <w:t xml:space="preserve">Khi phối hợp với các thuốc gây cảm ứng với CYP3A4 đã biết, nồng độ amlodipin </w:t>
      </w:r>
      <w:r w:rsidR="00493EBC">
        <w:rPr>
          <w:bCs/>
          <w:lang w:val="en-US"/>
        </w:rPr>
        <w:t xml:space="preserve">trong huyết tương có thể thay đổi. Do đó, cần kiểm soát huyết áp và cân nhắc điều chỉnh </w:t>
      </w:r>
      <w:r w:rsidR="00E52751">
        <w:rPr>
          <w:bCs/>
          <w:lang w:val="en-US"/>
        </w:rPr>
        <w:t>liều trong và sau khi phối hợp, đặc biệt là các thuốc gây cảm ứng mạnh CYP3A4 như Rifampicin</w:t>
      </w:r>
      <w:r w:rsidR="00084BFE">
        <w:rPr>
          <w:bCs/>
          <w:lang w:val="en-US"/>
        </w:rPr>
        <w:t>, Hypericum perforatum.</w:t>
      </w:r>
    </w:p>
    <w:p w14:paraId="1F6C2A00" w14:textId="208E1E47" w:rsidR="00A30D01" w:rsidRDefault="0079362A" w:rsidP="009A1C56">
      <w:pPr>
        <w:spacing w:before="120" w:after="120"/>
        <w:jc w:val="both"/>
        <w:rPr>
          <w:b/>
          <w:lang w:val="en-US"/>
        </w:rPr>
      </w:pPr>
      <w:r>
        <w:rPr>
          <w:b/>
          <w:lang w:val="en-US"/>
        </w:rPr>
        <w:t>Cảnh báo và thận trọng khi dùng thuốc:</w:t>
      </w:r>
    </w:p>
    <w:p w14:paraId="123D6383" w14:textId="77777777" w:rsidR="0079362A" w:rsidRDefault="00AB2FD1" w:rsidP="009A1C56">
      <w:p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ab/>
        <w:t xml:space="preserve">- </w:t>
      </w:r>
      <w:r w:rsidR="0079362A">
        <w:rPr>
          <w:bCs/>
          <w:lang w:val="en-US"/>
        </w:rPr>
        <w:t xml:space="preserve">Cảnh báo đặc biệt: </w:t>
      </w:r>
    </w:p>
    <w:p w14:paraId="72CE7716" w14:textId="645919C6" w:rsidR="00525851" w:rsidRDefault="0079362A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 Bệnh não do gan gây ra</w:t>
      </w:r>
      <w:r w:rsidR="007C39A9">
        <w:rPr>
          <w:bCs/>
          <w:lang w:val="en-US"/>
        </w:rPr>
        <w:t xml:space="preserve">: Khi gan bị suy, các thuốc lợi tiểu liên quan tới thiazid có thể gây ra bệnh </w:t>
      </w:r>
      <w:r w:rsidR="00525851">
        <w:rPr>
          <w:bCs/>
          <w:lang w:val="en-US"/>
        </w:rPr>
        <w:t>não do gan, đặc biệt trong trường hợp mất cân bằng điện giải. Do có mặt indapamid, cần ngừng uống Natrixam ngay lập tức nếu tình trạng này xảy ra.</w:t>
      </w:r>
    </w:p>
    <w:p w14:paraId="48F3428F" w14:textId="22FFA6FB" w:rsidR="00564EA9" w:rsidRDefault="0079362A" w:rsidP="009A1C56">
      <w:pPr>
        <w:spacing w:before="120" w:after="120"/>
        <w:ind w:firstLine="720"/>
        <w:jc w:val="both"/>
        <w:rPr>
          <w:bCs/>
          <w:lang w:val="en-US"/>
        </w:rPr>
      </w:pPr>
      <w:r>
        <w:rPr>
          <w:bCs/>
          <w:lang w:val="en-US"/>
        </w:rPr>
        <w:t>+ Nhạy cảm ánh sáng</w:t>
      </w:r>
      <w:r w:rsidR="00525851">
        <w:rPr>
          <w:bCs/>
          <w:lang w:val="en-US"/>
        </w:rPr>
        <w:t xml:space="preserve">: </w:t>
      </w:r>
      <w:r w:rsidR="00282198">
        <w:rPr>
          <w:bCs/>
          <w:lang w:val="en-US"/>
        </w:rPr>
        <w:t>Đã có báo cáo về phản ứng nhạy cảm ánh sáng do các thiazid và các thuốc lợi tiểu liên quan đến thiazid</w:t>
      </w:r>
      <w:r w:rsidR="000C654C">
        <w:rPr>
          <w:bCs/>
          <w:lang w:val="en-US"/>
        </w:rPr>
        <w:t>. Nếu phản ứng nhạy cảm ánh sáng xảy ra trong quá trình điều trị, bệnh nhân được khuyến cáo ngưng điều trị.</w:t>
      </w:r>
    </w:p>
    <w:p w14:paraId="4C828AB3" w14:textId="28AEB87F" w:rsidR="0079362A" w:rsidRDefault="0079362A" w:rsidP="009A1C56">
      <w:p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ab/>
        <w:t xml:space="preserve">- Thận trọng khi sử dụng: </w:t>
      </w:r>
    </w:p>
    <w:p w14:paraId="6498C701" w14:textId="6450A18E" w:rsidR="0079362A" w:rsidRDefault="0079362A" w:rsidP="009A1C56">
      <w:p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ab/>
        <w:t>+ Cơn tăng huyết áp</w:t>
      </w:r>
      <w:r w:rsidR="00DE55A5">
        <w:rPr>
          <w:bCs/>
          <w:lang w:val="en-US"/>
        </w:rPr>
        <w:t xml:space="preserve">: Độ an toàn và hiệu quả của amlodipin trên cơn tăng huyết áp </w:t>
      </w:r>
      <w:r w:rsidR="00675D06">
        <w:rPr>
          <w:bCs/>
          <w:lang w:val="en-US"/>
        </w:rPr>
        <w:t>chưa được thiết lập</w:t>
      </w:r>
      <w:r w:rsidR="008B2C08">
        <w:rPr>
          <w:bCs/>
          <w:lang w:val="en-US"/>
        </w:rPr>
        <w:t>.</w:t>
      </w:r>
    </w:p>
    <w:p w14:paraId="74F87AB3" w14:textId="7E2DD412" w:rsidR="008B2C08" w:rsidRDefault="008B2C08" w:rsidP="009A1C56">
      <w:p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ab/>
        <w:t xml:space="preserve">+ Cân bằng nước và điện giải: Natri huyết tương, kali huyết tương, </w:t>
      </w:r>
      <w:r w:rsidR="0015224C">
        <w:rPr>
          <w:bCs/>
          <w:lang w:val="en-US"/>
        </w:rPr>
        <w:t>Calci huyết tương.</w:t>
      </w:r>
    </w:p>
    <w:p w14:paraId="546CEF5D" w14:textId="3F275495" w:rsidR="0015224C" w:rsidRPr="00564EA9" w:rsidRDefault="0015224C" w:rsidP="009A1C56">
      <w:pPr>
        <w:spacing w:before="120" w:after="120"/>
        <w:jc w:val="both"/>
        <w:rPr>
          <w:bCs/>
          <w:lang w:val="en-US"/>
        </w:rPr>
      </w:pPr>
      <w:r>
        <w:rPr>
          <w:bCs/>
          <w:lang w:val="en-US"/>
        </w:rPr>
        <w:tab/>
        <w:t>+ Thận trọng đối với bệnh nhân</w:t>
      </w:r>
      <w:r w:rsidR="000E46A4">
        <w:rPr>
          <w:bCs/>
          <w:lang w:val="en-US"/>
        </w:rPr>
        <w:t>:</w:t>
      </w:r>
      <w:r>
        <w:rPr>
          <w:bCs/>
          <w:lang w:val="en-US"/>
        </w:rPr>
        <w:t xml:space="preserve"> Suy tim, suy thận, tăng Acid uric, suy gan, bệnh nhân cao tuổi.</w:t>
      </w:r>
    </w:p>
    <w:p w14:paraId="30E37C79" w14:textId="1C5125F4" w:rsidR="00A30D01" w:rsidRPr="00747039" w:rsidRDefault="00A30D01" w:rsidP="009A1C56">
      <w:pPr>
        <w:shd w:val="clear" w:color="auto" w:fill="FFFFFF"/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Phụ nữ mang thai:</w:t>
      </w:r>
    </w:p>
    <w:p w14:paraId="222AF9DD" w14:textId="44B3CDC5" w:rsidR="008A2B6B" w:rsidRPr="00404563" w:rsidRDefault="00967163" w:rsidP="009A1C56">
      <w:pPr>
        <w:spacing w:before="120" w:after="120"/>
        <w:ind w:firstLine="720"/>
        <w:jc w:val="both"/>
        <w:rPr>
          <w:lang w:val="en-US"/>
        </w:rPr>
      </w:pPr>
      <w:r>
        <w:rPr>
          <w:lang w:val="en-US"/>
        </w:rPr>
        <w:t xml:space="preserve">Không </w:t>
      </w:r>
      <w:r w:rsidR="003D2123">
        <w:rPr>
          <w:lang w:val="en-US"/>
        </w:rPr>
        <w:t>khuyến cáo dùng Natrixam cho phụ nữ có thai. Chống chỉ định dùng Natrixam cho phụ nữ cho con bú.</w:t>
      </w:r>
    </w:p>
    <w:p w14:paraId="65C046D5" w14:textId="77777777" w:rsidR="00A30D01" w:rsidRPr="00747039" w:rsidRDefault="00A30D01" w:rsidP="009A1C56">
      <w:pPr>
        <w:spacing w:before="120" w:after="120"/>
        <w:jc w:val="both"/>
        <w:rPr>
          <w:b/>
          <w:lang w:val="en-US"/>
        </w:rPr>
      </w:pPr>
      <w:r w:rsidRPr="00747039">
        <w:rPr>
          <w:b/>
          <w:lang w:val="en-US"/>
        </w:rPr>
        <w:t>Tác dụng không mong muốn:</w:t>
      </w:r>
    </w:p>
    <w:p w14:paraId="61C5AD1E" w14:textId="77777777" w:rsidR="00EC3941" w:rsidRDefault="00EC3941" w:rsidP="009A1C5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EC3941">
        <w:rPr>
          <w:color w:val="000000" w:themeColor="text1"/>
          <w:sz w:val="28"/>
          <w:szCs w:val="28"/>
        </w:rPr>
        <w:t>Các tác dụng không mong muốn phổ biến của indapamid và amlodipin bao gồm:</w:t>
      </w:r>
    </w:p>
    <w:p w14:paraId="04CF53FD" w14:textId="3407CB54" w:rsidR="00011658" w:rsidRDefault="00011658" w:rsidP="009A1C5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  <w:t xml:space="preserve">- Thường gặp: Hạ kali huyết; </w:t>
      </w:r>
      <w:r w:rsidR="003458CE">
        <w:rPr>
          <w:color w:val="000000" w:themeColor="text1"/>
          <w:sz w:val="28"/>
          <w:szCs w:val="28"/>
          <w:lang w:val="en-US"/>
        </w:rPr>
        <w:t>p</w:t>
      </w:r>
      <w:r>
        <w:rPr>
          <w:color w:val="000000" w:themeColor="text1"/>
          <w:sz w:val="28"/>
          <w:szCs w:val="28"/>
          <w:lang w:val="en-US"/>
        </w:rPr>
        <w:t>hát ban dát sần</w:t>
      </w:r>
      <w:r w:rsidR="00A43AF7">
        <w:rPr>
          <w:color w:val="000000" w:themeColor="text1"/>
          <w:sz w:val="28"/>
          <w:szCs w:val="28"/>
          <w:lang w:val="en-US"/>
        </w:rPr>
        <w:t>; buồn ngủ</w:t>
      </w:r>
      <w:r w:rsidR="00B61FD2">
        <w:rPr>
          <w:color w:val="000000" w:themeColor="text1"/>
          <w:sz w:val="28"/>
          <w:szCs w:val="28"/>
          <w:lang w:val="en-US"/>
        </w:rPr>
        <w:t>, chóng mặt, đau đầu; suy giảm thị lực</w:t>
      </w:r>
      <w:r w:rsidR="00336206">
        <w:rPr>
          <w:color w:val="000000" w:themeColor="text1"/>
          <w:sz w:val="28"/>
          <w:szCs w:val="28"/>
          <w:lang w:val="en-US"/>
        </w:rPr>
        <w:t>, chứng nhìn đôi; đánh trống ngực</w:t>
      </w:r>
      <w:r w:rsidR="008311E6">
        <w:rPr>
          <w:color w:val="000000" w:themeColor="text1"/>
          <w:sz w:val="28"/>
          <w:szCs w:val="28"/>
          <w:lang w:val="en-US"/>
        </w:rPr>
        <w:t>; đỏ bừng mặt; khó thở; đau bụng, buồn nôn</w:t>
      </w:r>
      <w:r w:rsidR="00A14112">
        <w:rPr>
          <w:color w:val="000000" w:themeColor="text1"/>
          <w:sz w:val="28"/>
          <w:szCs w:val="28"/>
          <w:lang w:val="en-US"/>
        </w:rPr>
        <w:t>, khó tiêu, tiêu chảy, táo bón; sưng mắt cá chân; mệt mỏi</w:t>
      </w:r>
      <w:r w:rsidR="00396C83">
        <w:rPr>
          <w:color w:val="000000" w:themeColor="text1"/>
          <w:sz w:val="28"/>
          <w:szCs w:val="28"/>
          <w:lang w:val="en-US"/>
        </w:rPr>
        <w:t>, suy nhược.</w:t>
      </w:r>
    </w:p>
    <w:p w14:paraId="33B0FA91" w14:textId="119322B6" w:rsidR="007665E0" w:rsidRPr="00011658" w:rsidRDefault="007665E0" w:rsidP="009A1C5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  <w:t xml:space="preserve">- Ít gặp: Viêm mũi; mất ngủ, thay đổi tâm trạng, trầm cảm; </w:t>
      </w:r>
      <w:r w:rsidR="003458CE">
        <w:rPr>
          <w:color w:val="000000" w:themeColor="text1"/>
          <w:sz w:val="28"/>
          <w:szCs w:val="28"/>
          <w:lang w:val="en-US"/>
        </w:rPr>
        <w:t>r</w:t>
      </w:r>
      <w:r>
        <w:rPr>
          <w:color w:val="000000" w:themeColor="text1"/>
          <w:sz w:val="28"/>
          <w:szCs w:val="28"/>
          <w:lang w:val="en-US"/>
        </w:rPr>
        <w:t>un, rối loạn vị giác</w:t>
      </w:r>
      <w:r w:rsidR="00543AA4">
        <w:rPr>
          <w:color w:val="000000" w:themeColor="text1"/>
          <w:sz w:val="28"/>
          <w:szCs w:val="28"/>
          <w:lang w:val="en-US"/>
        </w:rPr>
        <w:t xml:space="preserve">, ngất, giảm cảm giác, liệt nhẹ; ù tai; </w:t>
      </w:r>
      <w:r w:rsidR="004F6202">
        <w:rPr>
          <w:color w:val="000000" w:themeColor="text1"/>
          <w:sz w:val="28"/>
          <w:szCs w:val="28"/>
          <w:lang w:val="en-US"/>
        </w:rPr>
        <w:t>loạn nhịp tim; hạ huyết áp; ho; nôn</w:t>
      </w:r>
      <w:r w:rsidR="00397350">
        <w:rPr>
          <w:color w:val="000000" w:themeColor="text1"/>
          <w:sz w:val="28"/>
          <w:szCs w:val="28"/>
          <w:lang w:val="en-US"/>
        </w:rPr>
        <w:t xml:space="preserve">, </w:t>
      </w:r>
      <w:r w:rsidR="004F6202">
        <w:rPr>
          <w:color w:val="000000" w:themeColor="text1"/>
          <w:sz w:val="28"/>
          <w:szCs w:val="28"/>
          <w:lang w:val="en-US"/>
        </w:rPr>
        <w:t>khô miệ</w:t>
      </w:r>
      <w:r w:rsidR="00397350">
        <w:rPr>
          <w:color w:val="000000" w:themeColor="text1"/>
          <w:sz w:val="28"/>
          <w:szCs w:val="28"/>
          <w:lang w:val="en-US"/>
        </w:rPr>
        <w:t xml:space="preserve">ng; </w:t>
      </w:r>
      <w:r w:rsidR="003458CE">
        <w:rPr>
          <w:color w:val="000000" w:themeColor="text1"/>
          <w:sz w:val="28"/>
          <w:szCs w:val="28"/>
          <w:lang w:val="en-US"/>
        </w:rPr>
        <w:t>b</w:t>
      </w:r>
      <w:r w:rsidR="00397350">
        <w:rPr>
          <w:color w:val="000000" w:themeColor="text1"/>
          <w:sz w:val="28"/>
          <w:szCs w:val="28"/>
          <w:lang w:val="en-US"/>
        </w:rPr>
        <w:t xml:space="preserve">an xuất huyết, rụng tóc, mất màu da, tăng tiết mồ hôi, ngứa, ban da, </w:t>
      </w:r>
      <w:r w:rsidR="004669F4">
        <w:rPr>
          <w:color w:val="000000" w:themeColor="text1"/>
          <w:sz w:val="28"/>
          <w:szCs w:val="28"/>
          <w:lang w:val="en-US"/>
        </w:rPr>
        <w:t>ngoại ban, mày đay; đau khớp, đau cơ, chuột rút, đau lưng; rối loạn tiểu tiện, tiểu đêm</w:t>
      </w:r>
      <w:r w:rsidR="003251F1">
        <w:rPr>
          <w:color w:val="000000" w:themeColor="text1"/>
          <w:sz w:val="28"/>
          <w:szCs w:val="28"/>
          <w:lang w:val="en-US"/>
        </w:rPr>
        <w:t>, tiểu nhiều, suy thận; rối loạn chức năng cương dương</w:t>
      </w:r>
      <w:r w:rsidR="00A43AF7">
        <w:rPr>
          <w:color w:val="000000" w:themeColor="text1"/>
          <w:sz w:val="28"/>
          <w:szCs w:val="28"/>
          <w:lang w:val="en-US"/>
        </w:rPr>
        <w:t>; đau ngực, đau, khó chịu, tăng cân, giảm cân.</w:t>
      </w:r>
    </w:p>
    <w:p w14:paraId="2844EE71" w14:textId="77777777" w:rsidR="001E7C7F" w:rsidRDefault="001E7C7F" w:rsidP="00267E71">
      <w:pPr>
        <w:rPr>
          <w:lang w:val="en-US"/>
        </w:rPr>
      </w:pPr>
    </w:p>
    <w:p w14:paraId="777C2171" w14:textId="38E45D21" w:rsidR="001E7C7F" w:rsidRPr="0061559A" w:rsidRDefault="001E7C7F" w:rsidP="00267E71">
      <w:pPr>
        <w:rPr>
          <w:b/>
          <w:bCs/>
          <w:lang w:val="en-US"/>
        </w:rPr>
      </w:pPr>
      <w:r w:rsidRPr="001E7C7F">
        <w:rPr>
          <w:b/>
          <w:u w:val="single"/>
          <w:lang w:val="en-US"/>
        </w:rPr>
        <w:t>Đơn giá:</w:t>
      </w:r>
      <w:r>
        <w:rPr>
          <w:lang w:val="en-US"/>
        </w:rPr>
        <w:t xml:space="preserve"> </w:t>
      </w:r>
      <w:r w:rsidR="0061559A" w:rsidRPr="0061559A">
        <w:rPr>
          <w:b/>
          <w:bCs/>
          <w:lang w:val="en-US"/>
        </w:rPr>
        <w:t>4.987</w:t>
      </w:r>
      <w:r w:rsidRPr="0061559A">
        <w:rPr>
          <w:b/>
          <w:bCs/>
          <w:lang w:val="en-US"/>
        </w:rPr>
        <w:t xml:space="preserve"> </w:t>
      </w:r>
      <w:r w:rsidR="0061559A">
        <w:rPr>
          <w:b/>
          <w:bCs/>
          <w:lang w:val="en-US"/>
        </w:rPr>
        <w:t>đồng</w:t>
      </w:r>
      <w:r w:rsidR="00B252F0">
        <w:rPr>
          <w:b/>
          <w:bCs/>
          <w:lang w:val="en-US"/>
        </w:rPr>
        <w:t>/</w:t>
      </w:r>
      <w:r w:rsidR="0061559A">
        <w:rPr>
          <w:b/>
          <w:bCs/>
          <w:lang w:val="en-US"/>
        </w:rPr>
        <w:t>viên</w:t>
      </w:r>
    </w:p>
    <w:p w14:paraId="701BD553" w14:textId="114B032F" w:rsidR="001E7C7F" w:rsidRPr="001E7C7F" w:rsidRDefault="00434634" w:rsidP="001E7C7F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="001E7C7F" w:rsidRPr="001E7C7F">
        <w:rPr>
          <w:b/>
          <w:lang w:val="en-US"/>
        </w:rPr>
        <w:t>DS</w:t>
      </w:r>
      <w:r w:rsidR="00B252F0">
        <w:rPr>
          <w:b/>
          <w:lang w:val="en-US"/>
        </w:rPr>
        <w:t>.</w:t>
      </w:r>
      <w:r w:rsidR="00EC3941">
        <w:rPr>
          <w:b/>
          <w:lang w:val="en-US"/>
        </w:rPr>
        <w:t>Nguyễn Thị Hư</w:t>
      </w:r>
      <w:r w:rsidR="00FE058E">
        <w:rPr>
          <w:b/>
          <w:lang w:val="en-US"/>
        </w:rPr>
        <w:t xml:space="preserve">ờng </w:t>
      </w:r>
    </w:p>
    <w:sectPr w:rsidR="001E7C7F" w:rsidRPr="001E7C7F" w:rsidSect="009A1C56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6F9"/>
    <w:multiLevelType w:val="multilevel"/>
    <w:tmpl w:val="BB84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6C2D"/>
    <w:multiLevelType w:val="multilevel"/>
    <w:tmpl w:val="A45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A480C"/>
    <w:multiLevelType w:val="hybridMultilevel"/>
    <w:tmpl w:val="965A7A82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24DA"/>
    <w:multiLevelType w:val="multilevel"/>
    <w:tmpl w:val="E8B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8413A"/>
    <w:multiLevelType w:val="hybridMultilevel"/>
    <w:tmpl w:val="80361C76"/>
    <w:lvl w:ilvl="0" w:tplc="424E2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34419"/>
    <w:multiLevelType w:val="multilevel"/>
    <w:tmpl w:val="617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46C52"/>
    <w:multiLevelType w:val="multilevel"/>
    <w:tmpl w:val="97B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44C1A"/>
    <w:multiLevelType w:val="multilevel"/>
    <w:tmpl w:val="95A8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686450">
    <w:abstractNumId w:val="4"/>
  </w:num>
  <w:num w:numId="2" w16cid:durableId="1773744613">
    <w:abstractNumId w:val="6"/>
  </w:num>
  <w:num w:numId="3" w16cid:durableId="1388452029">
    <w:abstractNumId w:val="1"/>
  </w:num>
  <w:num w:numId="4" w16cid:durableId="1443259166">
    <w:abstractNumId w:val="3"/>
  </w:num>
  <w:num w:numId="5" w16cid:durableId="1108233357">
    <w:abstractNumId w:val="5"/>
  </w:num>
  <w:num w:numId="6" w16cid:durableId="210505691">
    <w:abstractNumId w:val="0"/>
  </w:num>
  <w:num w:numId="7" w16cid:durableId="255865162">
    <w:abstractNumId w:val="7"/>
  </w:num>
  <w:num w:numId="8" w16cid:durableId="122101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C"/>
    <w:rsid w:val="00011658"/>
    <w:rsid w:val="00071DAF"/>
    <w:rsid w:val="00084BFE"/>
    <w:rsid w:val="00086893"/>
    <w:rsid w:val="000926FD"/>
    <w:rsid w:val="000B1BA0"/>
    <w:rsid w:val="000B6040"/>
    <w:rsid w:val="000C654C"/>
    <w:rsid w:val="000D653A"/>
    <w:rsid w:val="000E46A4"/>
    <w:rsid w:val="000F082B"/>
    <w:rsid w:val="00140A32"/>
    <w:rsid w:val="00146E91"/>
    <w:rsid w:val="0015224C"/>
    <w:rsid w:val="00155990"/>
    <w:rsid w:val="00161A32"/>
    <w:rsid w:val="001A1000"/>
    <w:rsid w:val="001E7C7F"/>
    <w:rsid w:val="00227842"/>
    <w:rsid w:val="00232D53"/>
    <w:rsid w:val="002428FE"/>
    <w:rsid w:val="00267E71"/>
    <w:rsid w:val="002770BD"/>
    <w:rsid w:val="00282198"/>
    <w:rsid w:val="00283809"/>
    <w:rsid w:val="00285641"/>
    <w:rsid w:val="00292976"/>
    <w:rsid w:val="002B0C9F"/>
    <w:rsid w:val="002E17C3"/>
    <w:rsid w:val="002F1E41"/>
    <w:rsid w:val="003251F1"/>
    <w:rsid w:val="00336206"/>
    <w:rsid w:val="003458CE"/>
    <w:rsid w:val="00365A53"/>
    <w:rsid w:val="00396C83"/>
    <w:rsid w:val="00397350"/>
    <w:rsid w:val="003A109A"/>
    <w:rsid w:val="003A5A4C"/>
    <w:rsid w:val="003D2123"/>
    <w:rsid w:val="003D5EE3"/>
    <w:rsid w:val="003D651F"/>
    <w:rsid w:val="003F1445"/>
    <w:rsid w:val="00404563"/>
    <w:rsid w:val="00406EFE"/>
    <w:rsid w:val="00427505"/>
    <w:rsid w:val="00434634"/>
    <w:rsid w:val="00457968"/>
    <w:rsid w:val="004669F4"/>
    <w:rsid w:val="00493EBC"/>
    <w:rsid w:val="004A438B"/>
    <w:rsid w:val="004A467D"/>
    <w:rsid w:val="004A7162"/>
    <w:rsid w:val="004D6FFA"/>
    <w:rsid w:val="004F6202"/>
    <w:rsid w:val="00500A8C"/>
    <w:rsid w:val="00525851"/>
    <w:rsid w:val="005361C3"/>
    <w:rsid w:val="00543AA4"/>
    <w:rsid w:val="0055604B"/>
    <w:rsid w:val="00564EA9"/>
    <w:rsid w:val="005901E8"/>
    <w:rsid w:val="005B7F12"/>
    <w:rsid w:val="005F4843"/>
    <w:rsid w:val="0061559A"/>
    <w:rsid w:val="0065226B"/>
    <w:rsid w:val="00652B0D"/>
    <w:rsid w:val="006673B5"/>
    <w:rsid w:val="00670314"/>
    <w:rsid w:val="00675D06"/>
    <w:rsid w:val="00724253"/>
    <w:rsid w:val="00747039"/>
    <w:rsid w:val="007665E0"/>
    <w:rsid w:val="0079362A"/>
    <w:rsid w:val="0079718D"/>
    <w:rsid w:val="007B0BF3"/>
    <w:rsid w:val="007B757B"/>
    <w:rsid w:val="007C39A9"/>
    <w:rsid w:val="007E2080"/>
    <w:rsid w:val="007E7224"/>
    <w:rsid w:val="007F41CB"/>
    <w:rsid w:val="008311E6"/>
    <w:rsid w:val="0085467E"/>
    <w:rsid w:val="00891114"/>
    <w:rsid w:val="008A294D"/>
    <w:rsid w:val="008A2B6B"/>
    <w:rsid w:val="008B21CA"/>
    <w:rsid w:val="008B2C08"/>
    <w:rsid w:val="00926D82"/>
    <w:rsid w:val="00933181"/>
    <w:rsid w:val="00967163"/>
    <w:rsid w:val="009751BF"/>
    <w:rsid w:val="00993189"/>
    <w:rsid w:val="009A1C56"/>
    <w:rsid w:val="009B14EF"/>
    <w:rsid w:val="00A033F0"/>
    <w:rsid w:val="00A14112"/>
    <w:rsid w:val="00A21A1F"/>
    <w:rsid w:val="00A25085"/>
    <w:rsid w:val="00A30D01"/>
    <w:rsid w:val="00A43AF7"/>
    <w:rsid w:val="00A511B2"/>
    <w:rsid w:val="00A843B2"/>
    <w:rsid w:val="00AB2FD1"/>
    <w:rsid w:val="00AB3590"/>
    <w:rsid w:val="00AC2B22"/>
    <w:rsid w:val="00AC658F"/>
    <w:rsid w:val="00AD0B7F"/>
    <w:rsid w:val="00AD1D97"/>
    <w:rsid w:val="00AF4375"/>
    <w:rsid w:val="00B252F0"/>
    <w:rsid w:val="00B26188"/>
    <w:rsid w:val="00B61FD2"/>
    <w:rsid w:val="00B77F65"/>
    <w:rsid w:val="00BB7ED3"/>
    <w:rsid w:val="00C50B8D"/>
    <w:rsid w:val="00C516A9"/>
    <w:rsid w:val="00C520D4"/>
    <w:rsid w:val="00C5248F"/>
    <w:rsid w:val="00CA7349"/>
    <w:rsid w:val="00CF1E6A"/>
    <w:rsid w:val="00D12125"/>
    <w:rsid w:val="00D12C3F"/>
    <w:rsid w:val="00D34318"/>
    <w:rsid w:val="00D6757A"/>
    <w:rsid w:val="00D71B0F"/>
    <w:rsid w:val="00D7218C"/>
    <w:rsid w:val="00D7590F"/>
    <w:rsid w:val="00D76616"/>
    <w:rsid w:val="00DB2D6C"/>
    <w:rsid w:val="00DB590B"/>
    <w:rsid w:val="00DD6083"/>
    <w:rsid w:val="00DE55A5"/>
    <w:rsid w:val="00E52751"/>
    <w:rsid w:val="00E54CA4"/>
    <w:rsid w:val="00E60E08"/>
    <w:rsid w:val="00E723B2"/>
    <w:rsid w:val="00E82495"/>
    <w:rsid w:val="00EC3941"/>
    <w:rsid w:val="00EE3009"/>
    <w:rsid w:val="00F2346B"/>
    <w:rsid w:val="00F724A0"/>
    <w:rsid w:val="00F72E70"/>
    <w:rsid w:val="00FB0889"/>
    <w:rsid w:val="00FD1499"/>
    <w:rsid w:val="00FE058E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281D1"/>
  <w15:docId w15:val="{92745ECB-6B2C-42E0-9AAD-0FF0394F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61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AC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med.vn/tin-tuc/ha-huyet-ap-van-de-thuong-gap-va-cach-xu-tri/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med.vn/tin-tuc/suy-than-man-tinh-dau-hieu-nguyen-nhan-va-kha-nang-dieu-tr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med.vn/tin-tuc/suy-tim-va-nhung-dieu-can-luu-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A6AC-D4DC-4270-86EF-3A47F8FC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Nguyễn Thị Hường</cp:lastModifiedBy>
  <cp:revision>35</cp:revision>
  <cp:lastPrinted>2019-03-28T08:48:00Z</cp:lastPrinted>
  <dcterms:created xsi:type="dcterms:W3CDTF">2025-12-29T02:11:00Z</dcterms:created>
  <dcterms:modified xsi:type="dcterms:W3CDTF">2026-01-07T03:21:00Z</dcterms:modified>
</cp:coreProperties>
</file>